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CD34C" w14:textId="77777777" w:rsidR="00A31BCC" w:rsidRDefault="00A31BCC" w:rsidP="00A31BCC">
      <w:pPr>
        <w:pStyle w:val="Heading1"/>
      </w:pPr>
    </w:p>
    <w:p w14:paraId="534F4CB8" w14:textId="0B9ACB7B" w:rsidR="008C1086" w:rsidRDefault="00A31BCC" w:rsidP="00A31BCC">
      <w:pPr>
        <w:pStyle w:val="Heading1"/>
      </w:pPr>
      <w:r>
        <w:t>To whom it may Concern:</w:t>
      </w:r>
    </w:p>
    <w:p w14:paraId="1E4D51BA" w14:textId="77777777" w:rsidR="00A31BCC" w:rsidRDefault="00A31BCC" w:rsidP="006973FC"/>
    <w:p w14:paraId="237A2C93" w14:textId="1EACCE31" w:rsidR="00A31BCC" w:rsidRDefault="00A31BCC" w:rsidP="00A31BCC">
      <w:pPr>
        <w:rPr>
          <w:rFonts w:eastAsiaTheme="minorHAnsi" w:cs="Arial"/>
          <w:bCs/>
          <w:spacing w:val="0"/>
          <w:szCs w:val="24"/>
        </w:rPr>
      </w:pPr>
      <w:r>
        <w:t xml:space="preserve">The Board of Forestry and Fire Protection is seeking your assistance in </w:t>
      </w:r>
      <w:r w:rsidR="00CA21B1">
        <w:t>evaluating</w:t>
      </w:r>
      <w:r>
        <w:t xml:space="preserve"> the financial Impacts specific to the Board</w:t>
      </w:r>
      <w:r w:rsidR="00D47B69">
        <w:t xml:space="preserve"> of Forestry and Fire Protection</w:t>
      </w:r>
      <w:r>
        <w:t xml:space="preserve"> rule plea </w:t>
      </w:r>
      <w:bookmarkStart w:id="0" w:name="_Hlk158813489"/>
      <w:r>
        <w:t>“</w:t>
      </w:r>
      <w:r w:rsidRPr="00A31BCC">
        <w:rPr>
          <w:rFonts w:eastAsiaTheme="minorHAnsi" w:cs="Arial"/>
          <w:bCs/>
          <w:spacing w:val="0"/>
          <w:szCs w:val="24"/>
        </w:rPr>
        <w:t>Utility and Public Agency ROW Exemption</w:t>
      </w:r>
      <w:bookmarkEnd w:id="0"/>
      <w:r>
        <w:rPr>
          <w:rFonts w:eastAsiaTheme="minorHAnsi" w:cs="Arial"/>
          <w:bCs/>
          <w:spacing w:val="0"/>
          <w:szCs w:val="24"/>
        </w:rPr>
        <w:t>”</w:t>
      </w:r>
      <w:r w:rsidR="000B051A">
        <w:rPr>
          <w:rFonts w:eastAsiaTheme="minorHAnsi" w:cs="Arial"/>
          <w:bCs/>
          <w:spacing w:val="0"/>
          <w:szCs w:val="24"/>
        </w:rPr>
        <w:t>,14 CCR 1104.1 New section 14 CCR 1114</w:t>
      </w:r>
      <w:r>
        <w:rPr>
          <w:rFonts w:eastAsiaTheme="minorHAnsi" w:cs="Arial"/>
          <w:bCs/>
          <w:spacing w:val="0"/>
          <w:szCs w:val="24"/>
        </w:rPr>
        <w:t>.  The Board of Forestry and Fire Protection has reviewed and revised regulations specific to the use of the Public Utility Right-of-Way Utility Exemption.</w:t>
      </w:r>
    </w:p>
    <w:p w14:paraId="7A52C3F7" w14:textId="77777777" w:rsidR="000B051A" w:rsidRDefault="000B051A" w:rsidP="00A31BCC">
      <w:pPr>
        <w:rPr>
          <w:rFonts w:eastAsiaTheme="minorHAnsi" w:cs="Arial"/>
          <w:bCs/>
          <w:spacing w:val="0"/>
          <w:szCs w:val="24"/>
        </w:rPr>
      </w:pPr>
    </w:p>
    <w:p w14:paraId="0B0D7128" w14:textId="5582EF0B" w:rsidR="000B051A" w:rsidRDefault="000B051A" w:rsidP="00A31BCC">
      <w:pPr>
        <w:rPr>
          <w:rFonts w:eastAsiaTheme="minorHAnsi" w:cs="Arial"/>
          <w:bCs/>
          <w:spacing w:val="0"/>
          <w:szCs w:val="24"/>
        </w:rPr>
      </w:pPr>
      <w:r>
        <w:rPr>
          <w:rFonts w:eastAsiaTheme="minorHAnsi" w:cs="Arial"/>
          <w:bCs/>
          <w:spacing w:val="0"/>
          <w:szCs w:val="24"/>
        </w:rPr>
        <w:t xml:space="preserve">Current Regulations require public utilities to file a Notice of Exemption </w:t>
      </w:r>
      <w:r w:rsidR="00D47B69">
        <w:rPr>
          <w:rFonts w:eastAsiaTheme="minorHAnsi" w:cs="Arial"/>
          <w:bCs/>
          <w:spacing w:val="0"/>
          <w:szCs w:val="24"/>
        </w:rPr>
        <w:t>pursuant to</w:t>
      </w:r>
      <w:r>
        <w:rPr>
          <w:rFonts w:eastAsiaTheme="minorHAnsi" w:cs="Arial"/>
          <w:bCs/>
          <w:spacing w:val="0"/>
          <w:szCs w:val="24"/>
        </w:rPr>
        <w:t xml:space="preserve"> 14 CCR 1104.1 of the Forest Practice Rules.</w:t>
      </w:r>
    </w:p>
    <w:p w14:paraId="1B8AD42E" w14:textId="77777777" w:rsidR="000B051A" w:rsidRDefault="000B051A" w:rsidP="00A31BCC">
      <w:pPr>
        <w:rPr>
          <w:rFonts w:eastAsiaTheme="minorHAnsi" w:cs="Arial"/>
          <w:bCs/>
          <w:spacing w:val="0"/>
          <w:szCs w:val="24"/>
        </w:rPr>
      </w:pPr>
    </w:p>
    <w:p w14:paraId="280C83A8" w14:textId="6BC255F0" w:rsidR="000B051A" w:rsidRDefault="000B051A" w:rsidP="00A31BCC">
      <w:pPr>
        <w:rPr>
          <w:i/>
          <w:iCs/>
        </w:rPr>
      </w:pPr>
      <w:r>
        <w:rPr>
          <w:i/>
          <w:iCs/>
        </w:rPr>
        <w:t>“</w:t>
      </w:r>
      <w:r w:rsidRPr="000B051A">
        <w:rPr>
          <w:i/>
          <w:iCs/>
        </w:rPr>
        <w:t>Timber Operations conducted under this subsection shall be exempt from Conversion Permit and timber harvesting plan requirements of this article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 (</w:t>
      </w:r>
      <w:r w:rsidR="00F73CF7" w:rsidRPr="000B051A">
        <w:rPr>
          <w:i/>
          <w:iCs/>
        </w:rPr>
        <w:t>I</w:t>
      </w:r>
      <w:r w:rsidRPr="000B051A">
        <w:rPr>
          <w:i/>
          <w:iCs/>
        </w:rPr>
        <w:t xml:space="preserve">). </w:t>
      </w:r>
      <w:r w:rsidRPr="00C86B55">
        <w:rPr>
          <w:i/>
          <w:iCs/>
          <w:u w:val="single"/>
        </w:rPr>
        <w:t xml:space="preserve">Timber Operations shall comply with all other applicable provisions of the </w:t>
      </w:r>
      <w:r w:rsidR="00F73CF7" w:rsidRPr="00C86B55">
        <w:rPr>
          <w:i/>
          <w:iCs/>
          <w:u w:val="single"/>
        </w:rPr>
        <w:t>Z’ berg</w:t>
      </w:r>
      <w:r w:rsidRPr="00C86B55">
        <w:rPr>
          <w:i/>
          <w:iCs/>
          <w:u w:val="single"/>
        </w:rPr>
        <w:t>-Nejedly Forest Practice Act, regulations of the Board and currently effective provisions of county general plans, zoning ordinances and any implementing ordinances</w:t>
      </w:r>
      <w:r w:rsidRPr="000B051A">
        <w:rPr>
          <w:i/>
          <w:iCs/>
        </w:rPr>
        <w:t>. The Notice of Conversion Exemption Timber Operations shall be considered synonymous with the term "plan" as defined in 14 CCR 895.1 when applying the operational Rules and regulations of the Board.</w:t>
      </w:r>
    </w:p>
    <w:p w14:paraId="02B217F0" w14:textId="77777777" w:rsidR="000B051A" w:rsidRDefault="000B051A" w:rsidP="00A31BCC"/>
    <w:p w14:paraId="69D35E4F" w14:textId="77777777" w:rsidR="000B051A" w:rsidRPr="000B051A" w:rsidRDefault="000B051A" w:rsidP="00A31BCC">
      <w:pPr>
        <w:rPr>
          <w:i/>
          <w:iCs/>
        </w:rPr>
      </w:pPr>
      <w:r w:rsidRPr="000B051A">
        <w:rPr>
          <w:i/>
          <w:iCs/>
        </w:rPr>
        <w:t>(b) Construction or maintenance of right-of-way by a public agency on its own or any other public property.</w:t>
      </w:r>
    </w:p>
    <w:p w14:paraId="512CAC92" w14:textId="23B6CFAF" w:rsidR="00A31BCC" w:rsidRDefault="000B051A" w:rsidP="006973FC">
      <w:pPr>
        <w:rPr>
          <w:i/>
          <w:iCs/>
        </w:rPr>
      </w:pPr>
      <w:r w:rsidRPr="000B051A">
        <w:rPr>
          <w:i/>
          <w:iCs/>
        </w:rPr>
        <w:t>(c)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w:t>
      </w:r>
    </w:p>
    <w:p w14:paraId="3DC7692F" w14:textId="651AF950" w:rsidR="000063CB" w:rsidRDefault="000063CB" w:rsidP="009B2892">
      <w:pPr>
        <w:rPr>
          <w:i/>
          <w:iCs/>
        </w:rPr>
      </w:pPr>
    </w:p>
    <w:p w14:paraId="2732EEAC" w14:textId="55B8CADF" w:rsidR="009B2892" w:rsidRDefault="009B2892" w:rsidP="009B2892">
      <w:r>
        <w:t xml:space="preserve">Consider the increase in Wildfire activity and the specific attention given to utility right-of-way clearing and maintenance the Board of Forestry and Fire Protection took the opportunity to improve the organizational </w:t>
      </w:r>
      <w:r w:rsidRPr="00D47B69">
        <w:t>clarity of existing Section 1104.1 exemptions. Additionally, the Board included revisions to the substantive requirements for right-of-way maintenance practices conducted through timber operations, ensuring that those operations are carried out responsibly with the respect for forest resources, as will as the rights of timberland owners.</w:t>
      </w:r>
    </w:p>
    <w:p w14:paraId="3615A735" w14:textId="77777777" w:rsidR="00D47B69" w:rsidRDefault="00D47B69" w:rsidP="009B2892"/>
    <w:p w14:paraId="17324DAE" w14:textId="3CC909F9" w:rsidR="00857611" w:rsidRDefault="00D47B69" w:rsidP="009B2892">
      <w:proofErr w:type="gramStart"/>
      <w:r>
        <w:lastRenderedPageBreak/>
        <w:t>Given consideration to</w:t>
      </w:r>
      <w:proofErr w:type="gramEnd"/>
      <w:r>
        <w:t xml:space="preserve"> current right-of-way maintenance efforts conducted under 14 CCR 1104.1 and </w:t>
      </w:r>
      <w:r w:rsidR="00C86B55">
        <w:t xml:space="preserve">associated </w:t>
      </w:r>
      <w:r>
        <w:t>current costs</w:t>
      </w:r>
      <w:r w:rsidR="00CA21B1">
        <w:t>,</w:t>
      </w:r>
      <w:r>
        <w:t xml:space="preserve"> the Board of Forestry and Fire Protection is inquiring on the potential fiscal impacts associated </w:t>
      </w:r>
      <w:r w:rsidR="00C86B55">
        <w:t>with</w:t>
      </w:r>
      <w:r>
        <w:t xml:space="preserve"> the proposed rule plea specific to 14 CCR 1114.</w:t>
      </w:r>
      <w:r w:rsidR="00C86B55">
        <w:t xml:space="preserve">  The Rule Plea has been provided for reference along with a table which identifies the various requirements.  Please note existing regulatory language under 1104.1 requires timber operations to be conducted for right-of-way maintenance</w:t>
      </w:r>
      <w:r w:rsidR="00C86B55" w:rsidRPr="00C86B55">
        <w:t xml:space="preserve"> shall comply with all other applicable provisions of the </w:t>
      </w:r>
      <w:r w:rsidR="00F73CF7" w:rsidRPr="00C86B55">
        <w:t>Zuber</w:t>
      </w:r>
      <w:r w:rsidR="00C86B55" w:rsidRPr="00C86B55">
        <w:t>-Nejedly Forest Practice Act, regulations of the Board and currently effective provisions of county general plans, zoning ordinances and any implementing ordinances</w:t>
      </w:r>
      <w:r w:rsidR="00C86B55">
        <w:t xml:space="preserve">.  The rule plea prepared now specifically identifies the requirements under 14 CCR 1114.  The requirements identified in 14 CCR 1114 in many cases currently exist, however, there have been modifications to provide clarity which are greater than </w:t>
      </w:r>
      <w:r w:rsidR="00857611">
        <w:t>current regulatory standards.</w:t>
      </w:r>
    </w:p>
    <w:p w14:paraId="7850B0AC" w14:textId="77777777" w:rsidR="00857611" w:rsidRDefault="00857611" w:rsidP="009B2892"/>
    <w:p w14:paraId="545741BB" w14:textId="77777777" w:rsidR="00857611" w:rsidRDefault="00857611" w:rsidP="009B2892">
      <w:r>
        <w:t>Examples:</w:t>
      </w:r>
    </w:p>
    <w:p w14:paraId="13141384" w14:textId="32817CD9" w:rsidR="00D47B69" w:rsidRDefault="00857611" w:rsidP="00857611">
      <w:pPr>
        <w:pStyle w:val="ListParagraph"/>
        <w:numPr>
          <w:ilvl w:val="0"/>
          <w:numId w:val="32"/>
        </w:numPr>
      </w:pPr>
      <w:r>
        <w:t>The Notice of exemption now is required to be submitted by an RPF and has continued requirements of an RPF or a supervised designee during the life of the exemption.</w:t>
      </w:r>
    </w:p>
    <w:p w14:paraId="7B8CCCE6" w14:textId="0FD3D8E2" w:rsidR="00857611" w:rsidRDefault="00857611" w:rsidP="00857611">
      <w:pPr>
        <w:pStyle w:val="ListParagraph"/>
        <w:numPr>
          <w:ilvl w:val="0"/>
          <w:numId w:val="32"/>
        </w:numPr>
      </w:pPr>
      <w:r>
        <w:t>There are new mapping requirements.</w:t>
      </w:r>
    </w:p>
    <w:p w14:paraId="5FAE0C74" w14:textId="71A7AEA3" w:rsidR="00857611" w:rsidRDefault="00857611" w:rsidP="00857611">
      <w:pPr>
        <w:pStyle w:val="ListParagraph"/>
        <w:numPr>
          <w:ilvl w:val="0"/>
          <w:numId w:val="32"/>
        </w:numPr>
      </w:pPr>
      <w:r>
        <w:t>Hazard reduction standards must be completed on a shorter timeline then previously existed.</w:t>
      </w:r>
    </w:p>
    <w:p w14:paraId="733F3EEA" w14:textId="2CB2B720" w:rsidR="00CA21B1" w:rsidRDefault="00857611" w:rsidP="00CA21B1">
      <w:pPr>
        <w:pStyle w:val="ListParagraph"/>
        <w:numPr>
          <w:ilvl w:val="0"/>
          <w:numId w:val="32"/>
        </w:numPr>
      </w:pPr>
      <w:r>
        <w:t>There is an increase in Notification requirements to work with landowners.</w:t>
      </w:r>
    </w:p>
    <w:p w14:paraId="2D21286C" w14:textId="77777777" w:rsidR="002F0A8A" w:rsidRDefault="002F0A8A" w:rsidP="002F0A8A"/>
    <w:p w14:paraId="74416568" w14:textId="10629CBE" w:rsidR="00EE62A9" w:rsidRDefault="002F0A8A" w:rsidP="002F0A8A">
      <w:r>
        <w:t>The Boa</w:t>
      </w:r>
      <w:r w:rsidR="00273046">
        <w:t xml:space="preserve">rd of Forestry and Fire Protection is </w:t>
      </w:r>
      <w:r w:rsidR="00EE62A9">
        <w:t>requesting information to better understand the potential financial impacts this proposed regulation may have on maintenance operations being conducted around utility infrastructure within timberlands.  The Board recognizes and appreciates the efforts currently being undertaken</w:t>
      </w:r>
      <w:r w:rsidR="009B6CC8">
        <w:t xml:space="preserve"> and understands there are current cost associated with these efforts.  The Board is inquiring about what the potential increase of cost may be with the proposed rule plea.</w:t>
      </w:r>
    </w:p>
    <w:p w14:paraId="5BDD6475" w14:textId="77777777" w:rsidR="00273046" w:rsidRDefault="00273046" w:rsidP="002F0A8A"/>
    <w:p w14:paraId="27DB59B2" w14:textId="5D092DE8" w:rsidR="00273046" w:rsidRDefault="00273046" w:rsidP="002F0A8A">
      <w:r>
        <w:t>If you ha</w:t>
      </w:r>
      <w:r w:rsidR="001648FE">
        <w:t>ve</w:t>
      </w:r>
      <w:r>
        <w:t xml:space="preserve"> any questions or comments you would like to discuss please contact the Regulations Program Manager, Daniel Craig by email at </w:t>
      </w:r>
      <w:hyperlink r:id="rId8" w:history="1">
        <w:r w:rsidR="001648FE" w:rsidRPr="001427BB">
          <w:rPr>
            <w:rStyle w:val="Hyperlink"/>
          </w:rPr>
          <w:t>dan.craig@fire.ca.gov</w:t>
        </w:r>
      </w:hyperlink>
      <w:r w:rsidR="001648FE">
        <w:t xml:space="preserve"> or phone at (916) 956-4920 or the Regulations Program Coordinator, Jane VanSusteren at </w:t>
      </w:r>
      <w:hyperlink r:id="rId9" w:history="1">
        <w:r w:rsidR="001648FE" w:rsidRPr="001427BB">
          <w:rPr>
            <w:rStyle w:val="Hyperlink"/>
          </w:rPr>
          <w:t>Jane.VanSusteren@bof.ca.gov</w:t>
        </w:r>
      </w:hyperlink>
      <w:r w:rsidR="001648FE">
        <w:t xml:space="preserve"> or phone at (916) 619-9795</w:t>
      </w:r>
    </w:p>
    <w:p w14:paraId="65356ACB" w14:textId="77777777" w:rsidR="00D47B69" w:rsidRDefault="00D47B69" w:rsidP="009B2892"/>
    <w:p w14:paraId="653F9526" w14:textId="77777777" w:rsidR="00D47B69" w:rsidRDefault="00D47B69" w:rsidP="009B2892">
      <w:pPr>
        <w:rPr>
          <w:highlight w:val="yellow"/>
        </w:rPr>
      </w:pPr>
    </w:p>
    <w:p w14:paraId="76FE04F0" w14:textId="77777777" w:rsidR="009B2892" w:rsidRPr="000063CB" w:rsidRDefault="009B2892" w:rsidP="009B2892"/>
    <w:sectPr w:rsidR="009B2892" w:rsidRPr="000063CB" w:rsidSect="00041656">
      <w:headerReference w:type="even" r:id="rId10"/>
      <w:headerReference w:type="default"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693C" w14:textId="77777777" w:rsidR="00912358" w:rsidRDefault="00912358" w:rsidP="005F6B90">
      <w:r>
        <w:separator/>
      </w:r>
    </w:p>
  </w:endnote>
  <w:endnote w:type="continuationSeparator" w:id="0">
    <w:p w14:paraId="3ED24507" w14:textId="77777777" w:rsidR="00912358" w:rsidRDefault="00912358"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16375"/>
      <w:docPartObj>
        <w:docPartGallery w:val="Page Numbers (Bottom of Page)"/>
        <w:docPartUnique/>
      </w:docPartObj>
    </w:sdtPr>
    <w:sdtEndPr>
      <w:rPr>
        <w:noProof/>
      </w:rPr>
    </w:sdtEndPr>
    <w:sdtContent>
      <w:p w14:paraId="6417DEB2" w14:textId="4B07CB48"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CCC8F" w14:textId="77777777" w:rsidR="004D5EC4" w:rsidRDefault="004D5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812101"/>
      <w:docPartObj>
        <w:docPartGallery w:val="Page Numbers (Bottom of Page)"/>
        <w:docPartUnique/>
      </w:docPartObj>
    </w:sdtPr>
    <w:sdtEndPr>
      <w:rPr>
        <w:noProof/>
      </w:rPr>
    </w:sdtEndPr>
    <w:sdtContent>
      <w:p w14:paraId="2A9F6511" w14:textId="013FC096"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E30F14">
          <w:rPr>
            <w:noProof/>
          </w:rPr>
          <w:t>MGMT</w:t>
        </w:r>
        <w:r w:rsidR="00F860B6">
          <w:rPr>
            <w:noProof/>
          </w:rPr>
          <w:t xml:space="preserve"> 2(c)</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1DA44" w14:textId="77777777" w:rsidR="00912358" w:rsidRDefault="00912358" w:rsidP="005F6B90">
      <w:r>
        <w:separator/>
      </w:r>
    </w:p>
  </w:footnote>
  <w:footnote w:type="continuationSeparator" w:id="0">
    <w:p w14:paraId="72EE9549" w14:textId="77777777" w:rsidR="00912358" w:rsidRDefault="00912358"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4A63" w14:textId="68F1124D" w:rsidR="00F70E6B" w:rsidRDefault="00F860B6">
    <w:pPr>
      <w:pStyle w:val="Header"/>
    </w:pPr>
    <w:r>
      <w:rPr>
        <w:noProof/>
      </w:rPr>
      <w:pict w14:anchorId="1A2DC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672688" o:spid="_x0000_s1036" type="#_x0000_t136" style="position:absolute;margin-left:0;margin-top:0;width:494.85pt;height:164.95pt;rotation:315;z-index:-251654144;mso-position-horizontal:center;mso-position-horizontal-relative:margin;mso-position-vertical:center;mso-position-vertical-relative:margin" o:allowincell="f" fillcolor="#303030" stroked="f">
          <v:fill opacity=".5"/>
          <v:textpath style="font-family:&quot;Arial&quot;;font-size:1pt" string="Sample"/>
          <w10:wrap anchorx="margin" anchory="margin"/>
        </v:shape>
      </w:pict>
    </w:r>
    <w:r>
      <w:rPr>
        <w:noProof/>
      </w:rPr>
      <w:pict w14:anchorId="08A10AC2">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5098" w14:textId="227C7987" w:rsidR="000B051A" w:rsidRDefault="00F860B6">
    <w:pPr>
      <w:pStyle w:val="Header"/>
    </w:pPr>
    <w:r>
      <w:rPr>
        <w:noProof/>
      </w:rPr>
      <w:pict w14:anchorId="2C24FF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672689" o:spid="_x0000_s1037" type="#_x0000_t136" style="position:absolute;margin-left:0;margin-top:0;width:494.85pt;height:164.95pt;rotation:315;z-index:-251652096;mso-position-horizontal:center;mso-position-horizontal-relative:margin;mso-position-vertical:center;mso-position-vertical-relative:margin" o:allowincell="f" fillcolor="#303030"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ACA9" w14:textId="0423C967" w:rsidR="00F70E6B" w:rsidRDefault="00F860B6" w:rsidP="008E1416">
    <w:pPr>
      <w:tabs>
        <w:tab w:val="left" w:pos="180"/>
        <w:tab w:val="right" w:pos="10800"/>
      </w:tabs>
      <w:suppressAutoHyphens/>
      <w:spacing w:line="240" w:lineRule="exact"/>
      <w:ind w:left="-720"/>
      <w:rPr>
        <w:spacing w:val="2"/>
        <w:sz w:val="14"/>
        <w:szCs w:val="24"/>
      </w:rPr>
    </w:pPr>
    <w:r>
      <w:rPr>
        <w:noProof/>
      </w:rPr>
      <w:pict w14:anchorId="11083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672687" o:spid="_x0000_s1035" type="#_x0000_t136" style="position:absolute;left:0;text-align:left;margin-left:0;margin-top:0;width:494.85pt;height:164.95pt;rotation:315;z-index:-251656192;mso-position-horizontal:center;mso-position-horizontal-relative:margin;mso-position-vertical:center;mso-position-vertical-relative:margin" o:allowincell="f" fillcolor="#303030" stroked="f">
          <v:fill opacity=".5"/>
          <v:textpath style="font-family:&quot;Arial&quot;;font-size:1pt" string="Sample"/>
          <w10:wrap anchorx="margin" anchory="margin"/>
        </v:shape>
      </w:pict>
    </w:r>
    <w:r w:rsidR="00F70E6B" w:rsidRPr="005F6B90">
      <w:rPr>
        <w:b/>
        <w:sz w:val="18"/>
        <w:szCs w:val="18"/>
      </w:rPr>
      <w:t>BOARD OF FORESTRY AND FIRE PROTECTION</w:t>
    </w:r>
    <w:r w:rsidR="00F70E6B">
      <w:rPr>
        <w:b/>
        <w:spacing w:val="2"/>
        <w:sz w:val="14"/>
        <w:szCs w:val="24"/>
      </w:rPr>
      <w:tab/>
    </w:r>
    <w:r w:rsidR="009C79F9">
      <w:rPr>
        <w:b/>
        <w:spacing w:val="2"/>
        <w:sz w:val="14"/>
        <w:szCs w:val="24"/>
      </w:rPr>
      <w:t>TERRENCE O’BRIEN</w:t>
    </w:r>
    <w:r w:rsidR="00F70E6B">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60B6">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2390597C" w14:textId="77777777" w:rsidR="00F70E6B" w:rsidRDefault="00F860B6" w:rsidP="008307F1">
    <w:pPr>
      <w:tabs>
        <w:tab w:val="left" w:pos="-720"/>
      </w:tabs>
      <w:suppressAutoHyphens/>
      <w:ind w:left="-720"/>
    </w:pPr>
    <w:hyperlink r:id="rId2" w:history="1">
      <w:r w:rsidR="00F70E6B"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B56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3075E"/>
    <w:multiLevelType w:val="hybridMultilevel"/>
    <w:tmpl w:val="C8CE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7"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8"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0"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29"/>
  </w:num>
  <w:num w:numId="4" w16cid:durableId="80836759">
    <w:abstractNumId w:val="8"/>
  </w:num>
  <w:num w:numId="5" w16cid:durableId="1774131141">
    <w:abstractNumId w:val="25"/>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27"/>
  </w:num>
  <w:num w:numId="11" w16cid:durableId="961619752">
    <w:abstractNumId w:val="9"/>
  </w:num>
  <w:num w:numId="12" w16cid:durableId="1945141152">
    <w:abstractNumId w:val="30"/>
  </w:num>
  <w:num w:numId="13" w16cid:durableId="988558077">
    <w:abstractNumId w:val="26"/>
  </w:num>
  <w:num w:numId="14" w16cid:durableId="1341735940">
    <w:abstractNumId w:val="16"/>
  </w:num>
  <w:num w:numId="15" w16cid:durableId="2023820293">
    <w:abstractNumId w:val="19"/>
  </w:num>
  <w:num w:numId="16" w16cid:durableId="1886913961">
    <w:abstractNumId w:val="31"/>
  </w:num>
  <w:num w:numId="17" w16cid:durableId="228611841">
    <w:abstractNumId w:val="15"/>
  </w:num>
  <w:num w:numId="18" w16cid:durableId="990061881">
    <w:abstractNumId w:val="17"/>
  </w:num>
  <w:num w:numId="19" w16cid:durableId="622542882">
    <w:abstractNumId w:val="21"/>
  </w:num>
  <w:num w:numId="20" w16cid:durableId="109012388">
    <w:abstractNumId w:val="11"/>
  </w:num>
  <w:num w:numId="21" w16cid:durableId="396051551">
    <w:abstractNumId w:val="12"/>
  </w:num>
  <w:num w:numId="22" w16cid:durableId="2138254455">
    <w:abstractNumId w:val="24"/>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8"/>
  </w:num>
  <w:num w:numId="26" w16cid:durableId="533232573">
    <w:abstractNumId w:val="20"/>
  </w:num>
  <w:num w:numId="27" w16cid:durableId="1815297538">
    <w:abstractNumId w:val="5"/>
  </w:num>
  <w:num w:numId="28" w16cid:durableId="71971311">
    <w:abstractNumId w:val="28"/>
  </w:num>
  <w:num w:numId="29" w16cid:durableId="830413674">
    <w:abstractNumId w:val="23"/>
  </w:num>
  <w:num w:numId="30" w16cid:durableId="1517649331">
    <w:abstractNumId w:val="3"/>
  </w:num>
  <w:num w:numId="31" w16cid:durableId="1502313388">
    <w:abstractNumId w:val="2"/>
  </w:num>
  <w:num w:numId="32" w16cid:durableId="113167660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pR9l28XGVJ4FwTLO3OLjKuo72ur8UVNNGMRCy9pdk1w5PTDFNUQI7/7vD3W0bAL62xOCwC8QD9sy4NwRCuYOQ==" w:salt="6PNKtwn2QFiZ4nfIRdnFl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C1"/>
    <w:rsid w:val="00001253"/>
    <w:rsid w:val="00002F65"/>
    <w:rsid w:val="000052E0"/>
    <w:rsid w:val="000059AB"/>
    <w:rsid w:val="00005C98"/>
    <w:rsid w:val="00006213"/>
    <w:rsid w:val="000063CB"/>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47383"/>
    <w:rsid w:val="00050C5B"/>
    <w:rsid w:val="000529A5"/>
    <w:rsid w:val="00052D0A"/>
    <w:rsid w:val="0005329B"/>
    <w:rsid w:val="00054F7E"/>
    <w:rsid w:val="000569BE"/>
    <w:rsid w:val="000578F6"/>
    <w:rsid w:val="00060C6C"/>
    <w:rsid w:val="00063612"/>
    <w:rsid w:val="00063E07"/>
    <w:rsid w:val="00066CF5"/>
    <w:rsid w:val="00066E77"/>
    <w:rsid w:val="000675F2"/>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CE3"/>
    <w:rsid w:val="000A7800"/>
    <w:rsid w:val="000B051A"/>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E5407"/>
    <w:rsid w:val="000F17B1"/>
    <w:rsid w:val="000F4976"/>
    <w:rsid w:val="000F5E0C"/>
    <w:rsid w:val="000F6CED"/>
    <w:rsid w:val="000F6EF9"/>
    <w:rsid w:val="00105236"/>
    <w:rsid w:val="00107812"/>
    <w:rsid w:val="001120E3"/>
    <w:rsid w:val="00113DEA"/>
    <w:rsid w:val="00116503"/>
    <w:rsid w:val="00117F05"/>
    <w:rsid w:val="0012274B"/>
    <w:rsid w:val="00122CB4"/>
    <w:rsid w:val="00123A41"/>
    <w:rsid w:val="00132F5C"/>
    <w:rsid w:val="0013381F"/>
    <w:rsid w:val="00133F8F"/>
    <w:rsid w:val="0013597D"/>
    <w:rsid w:val="001401DB"/>
    <w:rsid w:val="001419D4"/>
    <w:rsid w:val="001432CB"/>
    <w:rsid w:val="0014720D"/>
    <w:rsid w:val="001474F5"/>
    <w:rsid w:val="0014796B"/>
    <w:rsid w:val="001516FF"/>
    <w:rsid w:val="0015419B"/>
    <w:rsid w:val="0015495B"/>
    <w:rsid w:val="00155FFC"/>
    <w:rsid w:val="00156AC8"/>
    <w:rsid w:val="001614DC"/>
    <w:rsid w:val="00161AF9"/>
    <w:rsid w:val="0016201E"/>
    <w:rsid w:val="00162DCD"/>
    <w:rsid w:val="00162E5B"/>
    <w:rsid w:val="00163425"/>
    <w:rsid w:val="001638CD"/>
    <w:rsid w:val="00163DDB"/>
    <w:rsid w:val="0016457F"/>
    <w:rsid w:val="001648FE"/>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41AF"/>
    <w:rsid w:val="001A5DFD"/>
    <w:rsid w:val="001A64FC"/>
    <w:rsid w:val="001B3A62"/>
    <w:rsid w:val="001B417A"/>
    <w:rsid w:val="001B68D7"/>
    <w:rsid w:val="001B69FE"/>
    <w:rsid w:val="001C1BA6"/>
    <w:rsid w:val="001C2503"/>
    <w:rsid w:val="001C2782"/>
    <w:rsid w:val="001C731D"/>
    <w:rsid w:val="001D1351"/>
    <w:rsid w:val="001D749F"/>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36DE"/>
    <w:rsid w:val="00223A96"/>
    <w:rsid w:val="00224EDB"/>
    <w:rsid w:val="00227086"/>
    <w:rsid w:val="002279A5"/>
    <w:rsid w:val="00232477"/>
    <w:rsid w:val="00232FDD"/>
    <w:rsid w:val="00233548"/>
    <w:rsid w:val="00234BF8"/>
    <w:rsid w:val="002352EB"/>
    <w:rsid w:val="002412B8"/>
    <w:rsid w:val="00241B77"/>
    <w:rsid w:val="00242974"/>
    <w:rsid w:val="0024545B"/>
    <w:rsid w:val="00251DBE"/>
    <w:rsid w:val="00252CDF"/>
    <w:rsid w:val="00255043"/>
    <w:rsid w:val="00255842"/>
    <w:rsid w:val="002560A1"/>
    <w:rsid w:val="00263323"/>
    <w:rsid w:val="002716C4"/>
    <w:rsid w:val="00272547"/>
    <w:rsid w:val="00273046"/>
    <w:rsid w:val="0027683F"/>
    <w:rsid w:val="00282335"/>
    <w:rsid w:val="00282B5A"/>
    <w:rsid w:val="00283D66"/>
    <w:rsid w:val="00285EEF"/>
    <w:rsid w:val="00286BB6"/>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2166"/>
    <w:rsid w:val="002D33D4"/>
    <w:rsid w:val="002D3C05"/>
    <w:rsid w:val="002D5DD9"/>
    <w:rsid w:val="002D6C2D"/>
    <w:rsid w:val="002E21CA"/>
    <w:rsid w:val="002E5655"/>
    <w:rsid w:val="002E5DBE"/>
    <w:rsid w:val="002F0A8A"/>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4A85"/>
    <w:rsid w:val="0036654E"/>
    <w:rsid w:val="003677E2"/>
    <w:rsid w:val="00367F4B"/>
    <w:rsid w:val="00370F8A"/>
    <w:rsid w:val="00377F7E"/>
    <w:rsid w:val="003820C0"/>
    <w:rsid w:val="003823C1"/>
    <w:rsid w:val="00386990"/>
    <w:rsid w:val="00390119"/>
    <w:rsid w:val="003903D5"/>
    <w:rsid w:val="003911FC"/>
    <w:rsid w:val="00391EE4"/>
    <w:rsid w:val="00393943"/>
    <w:rsid w:val="00393C07"/>
    <w:rsid w:val="00393EF8"/>
    <w:rsid w:val="0039414E"/>
    <w:rsid w:val="00394BBB"/>
    <w:rsid w:val="00394E82"/>
    <w:rsid w:val="00395C4B"/>
    <w:rsid w:val="003966F5"/>
    <w:rsid w:val="00397EAF"/>
    <w:rsid w:val="003A4E3C"/>
    <w:rsid w:val="003A5E67"/>
    <w:rsid w:val="003B4CB9"/>
    <w:rsid w:val="003B5859"/>
    <w:rsid w:val="003B7C1D"/>
    <w:rsid w:val="003C46D5"/>
    <w:rsid w:val="003D0DD1"/>
    <w:rsid w:val="003D2999"/>
    <w:rsid w:val="003D29E9"/>
    <w:rsid w:val="003D59C3"/>
    <w:rsid w:val="003D5D5A"/>
    <w:rsid w:val="003D652A"/>
    <w:rsid w:val="003D6740"/>
    <w:rsid w:val="003E0695"/>
    <w:rsid w:val="003E0AFA"/>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23A"/>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227C"/>
    <w:rsid w:val="004A2257"/>
    <w:rsid w:val="004A37A3"/>
    <w:rsid w:val="004A46D6"/>
    <w:rsid w:val="004B0FA3"/>
    <w:rsid w:val="004B1275"/>
    <w:rsid w:val="004B1C72"/>
    <w:rsid w:val="004B6867"/>
    <w:rsid w:val="004B72A4"/>
    <w:rsid w:val="004C181D"/>
    <w:rsid w:val="004C4E1C"/>
    <w:rsid w:val="004C6D06"/>
    <w:rsid w:val="004D25C3"/>
    <w:rsid w:val="004D5824"/>
    <w:rsid w:val="004D5EC4"/>
    <w:rsid w:val="004D67E0"/>
    <w:rsid w:val="004D6917"/>
    <w:rsid w:val="004D7EA9"/>
    <w:rsid w:val="004E09D5"/>
    <w:rsid w:val="004E100F"/>
    <w:rsid w:val="004E321B"/>
    <w:rsid w:val="004E3ADC"/>
    <w:rsid w:val="004E4656"/>
    <w:rsid w:val="004E4874"/>
    <w:rsid w:val="004E7E35"/>
    <w:rsid w:val="004F0D74"/>
    <w:rsid w:val="004F1E38"/>
    <w:rsid w:val="004F2705"/>
    <w:rsid w:val="004F4149"/>
    <w:rsid w:val="005002ED"/>
    <w:rsid w:val="00500CCB"/>
    <w:rsid w:val="00502027"/>
    <w:rsid w:val="00503597"/>
    <w:rsid w:val="005076AF"/>
    <w:rsid w:val="00510E66"/>
    <w:rsid w:val="00510F97"/>
    <w:rsid w:val="0052066D"/>
    <w:rsid w:val="005229F7"/>
    <w:rsid w:val="00524BC9"/>
    <w:rsid w:val="00526CB8"/>
    <w:rsid w:val="00527336"/>
    <w:rsid w:val="00536F2F"/>
    <w:rsid w:val="00537193"/>
    <w:rsid w:val="0054007C"/>
    <w:rsid w:val="00540753"/>
    <w:rsid w:val="005467A5"/>
    <w:rsid w:val="0055165D"/>
    <w:rsid w:val="005541FB"/>
    <w:rsid w:val="00562847"/>
    <w:rsid w:val="00565B62"/>
    <w:rsid w:val="00570FF8"/>
    <w:rsid w:val="005720F6"/>
    <w:rsid w:val="005729A5"/>
    <w:rsid w:val="00573C2E"/>
    <w:rsid w:val="00580FA0"/>
    <w:rsid w:val="00581342"/>
    <w:rsid w:val="005847B2"/>
    <w:rsid w:val="00584F32"/>
    <w:rsid w:val="00585865"/>
    <w:rsid w:val="00585AA7"/>
    <w:rsid w:val="00590A27"/>
    <w:rsid w:val="005923B5"/>
    <w:rsid w:val="005A07C2"/>
    <w:rsid w:val="005A20FB"/>
    <w:rsid w:val="005A31B0"/>
    <w:rsid w:val="005A3438"/>
    <w:rsid w:val="005A3C92"/>
    <w:rsid w:val="005A43A5"/>
    <w:rsid w:val="005A60C0"/>
    <w:rsid w:val="005A612E"/>
    <w:rsid w:val="005A7312"/>
    <w:rsid w:val="005A7645"/>
    <w:rsid w:val="005B2BF2"/>
    <w:rsid w:val="005B3CDC"/>
    <w:rsid w:val="005B45F2"/>
    <w:rsid w:val="005B59CB"/>
    <w:rsid w:val="005B5CDC"/>
    <w:rsid w:val="005B7E9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236A"/>
    <w:rsid w:val="00604812"/>
    <w:rsid w:val="0061047C"/>
    <w:rsid w:val="0061125B"/>
    <w:rsid w:val="006121AC"/>
    <w:rsid w:val="0061288A"/>
    <w:rsid w:val="00614A48"/>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35A1"/>
    <w:rsid w:val="0067417A"/>
    <w:rsid w:val="00674B94"/>
    <w:rsid w:val="00677C09"/>
    <w:rsid w:val="00677CFB"/>
    <w:rsid w:val="00681F1E"/>
    <w:rsid w:val="00683AC3"/>
    <w:rsid w:val="00684952"/>
    <w:rsid w:val="00685BB4"/>
    <w:rsid w:val="00690745"/>
    <w:rsid w:val="006930CC"/>
    <w:rsid w:val="00693765"/>
    <w:rsid w:val="006943D0"/>
    <w:rsid w:val="006952FA"/>
    <w:rsid w:val="006954F6"/>
    <w:rsid w:val="006973FC"/>
    <w:rsid w:val="006A57EE"/>
    <w:rsid w:val="006A62FF"/>
    <w:rsid w:val="006A6CDE"/>
    <w:rsid w:val="006B0AC4"/>
    <w:rsid w:val="006B1378"/>
    <w:rsid w:val="006B3815"/>
    <w:rsid w:val="006B39A5"/>
    <w:rsid w:val="006B6F75"/>
    <w:rsid w:val="006B7B89"/>
    <w:rsid w:val="006B7F5F"/>
    <w:rsid w:val="006B7FB7"/>
    <w:rsid w:val="006C1414"/>
    <w:rsid w:val="006C3462"/>
    <w:rsid w:val="006C5B01"/>
    <w:rsid w:val="006C5F77"/>
    <w:rsid w:val="006D1BDB"/>
    <w:rsid w:val="006D3C82"/>
    <w:rsid w:val="006E0CAF"/>
    <w:rsid w:val="006E25D1"/>
    <w:rsid w:val="006E3DDB"/>
    <w:rsid w:val="006E6C56"/>
    <w:rsid w:val="006E744E"/>
    <w:rsid w:val="006F2F9E"/>
    <w:rsid w:val="006F4A52"/>
    <w:rsid w:val="006F683B"/>
    <w:rsid w:val="006F7CF8"/>
    <w:rsid w:val="00700DFB"/>
    <w:rsid w:val="0070768E"/>
    <w:rsid w:val="00715630"/>
    <w:rsid w:val="0071608A"/>
    <w:rsid w:val="007164C5"/>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4C5"/>
    <w:rsid w:val="007A3BE8"/>
    <w:rsid w:val="007A57FF"/>
    <w:rsid w:val="007A6569"/>
    <w:rsid w:val="007B05D2"/>
    <w:rsid w:val="007B2BDF"/>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57611"/>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C0052"/>
    <w:rsid w:val="008C1086"/>
    <w:rsid w:val="008C4E2A"/>
    <w:rsid w:val="008C69A7"/>
    <w:rsid w:val="008C6E89"/>
    <w:rsid w:val="008C7320"/>
    <w:rsid w:val="008D308E"/>
    <w:rsid w:val="008D431B"/>
    <w:rsid w:val="008D4CA0"/>
    <w:rsid w:val="008D51AA"/>
    <w:rsid w:val="008D6360"/>
    <w:rsid w:val="008D74BD"/>
    <w:rsid w:val="008E053C"/>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2BE4"/>
    <w:rsid w:val="0090325A"/>
    <w:rsid w:val="009032BD"/>
    <w:rsid w:val="009043D7"/>
    <w:rsid w:val="009047B4"/>
    <w:rsid w:val="00905CB2"/>
    <w:rsid w:val="00906AF9"/>
    <w:rsid w:val="00907612"/>
    <w:rsid w:val="00907CC1"/>
    <w:rsid w:val="00910012"/>
    <w:rsid w:val="00911063"/>
    <w:rsid w:val="00912358"/>
    <w:rsid w:val="00914BA6"/>
    <w:rsid w:val="00915514"/>
    <w:rsid w:val="00915F9E"/>
    <w:rsid w:val="009201B8"/>
    <w:rsid w:val="00922B99"/>
    <w:rsid w:val="00925FA2"/>
    <w:rsid w:val="00926363"/>
    <w:rsid w:val="009263DA"/>
    <w:rsid w:val="009304FF"/>
    <w:rsid w:val="00930A60"/>
    <w:rsid w:val="00931D81"/>
    <w:rsid w:val="00932052"/>
    <w:rsid w:val="0093212A"/>
    <w:rsid w:val="00933479"/>
    <w:rsid w:val="00940172"/>
    <w:rsid w:val="009410C0"/>
    <w:rsid w:val="009422A0"/>
    <w:rsid w:val="00942A07"/>
    <w:rsid w:val="00943F5F"/>
    <w:rsid w:val="009523A7"/>
    <w:rsid w:val="00955ADE"/>
    <w:rsid w:val="00956ECC"/>
    <w:rsid w:val="0096042F"/>
    <w:rsid w:val="009617B4"/>
    <w:rsid w:val="009645CA"/>
    <w:rsid w:val="00970830"/>
    <w:rsid w:val="0097126D"/>
    <w:rsid w:val="0097139E"/>
    <w:rsid w:val="0097460D"/>
    <w:rsid w:val="00975F30"/>
    <w:rsid w:val="0098122B"/>
    <w:rsid w:val="00985050"/>
    <w:rsid w:val="00985FC5"/>
    <w:rsid w:val="00991814"/>
    <w:rsid w:val="00994371"/>
    <w:rsid w:val="009A38C3"/>
    <w:rsid w:val="009A5859"/>
    <w:rsid w:val="009A6163"/>
    <w:rsid w:val="009B146F"/>
    <w:rsid w:val="009B19DE"/>
    <w:rsid w:val="009B229B"/>
    <w:rsid w:val="009B22F3"/>
    <w:rsid w:val="009B2892"/>
    <w:rsid w:val="009B32CD"/>
    <w:rsid w:val="009B6CC8"/>
    <w:rsid w:val="009B7849"/>
    <w:rsid w:val="009B7997"/>
    <w:rsid w:val="009C236C"/>
    <w:rsid w:val="009C4C6B"/>
    <w:rsid w:val="009C6E5E"/>
    <w:rsid w:val="009C79F9"/>
    <w:rsid w:val="009D0BB7"/>
    <w:rsid w:val="009D1B84"/>
    <w:rsid w:val="009D1D83"/>
    <w:rsid w:val="009D211F"/>
    <w:rsid w:val="009D38B1"/>
    <w:rsid w:val="009D39B1"/>
    <w:rsid w:val="009D47CD"/>
    <w:rsid w:val="009D4899"/>
    <w:rsid w:val="009D5395"/>
    <w:rsid w:val="009D5A40"/>
    <w:rsid w:val="009D773C"/>
    <w:rsid w:val="009E0372"/>
    <w:rsid w:val="009E079C"/>
    <w:rsid w:val="009E1D4E"/>
    <w:rsid w:val="009E287F"/>
    <w:rsid w:val="009E2D6E"/>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1BCC"/>
    <w:rsid w:val="00A32E58"/>
    <w:rsid w:val="00A34F9D"/>
    <w:rsid w:val="00A4241F"/>
    <w:rsid w:val="00A43E81"/>
    <w:rsid w:val="00A44345"/>
    <w:rsid w:val="00A45A6C"/>
    <w:rsid w:val="00A45AC4"/>
    <w:rsid w:val="00A4643F"/>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874AC"/>
    <w:rsid w:val="00A96EA9"/>
    <w:rsid w:val="00A9720D"/>
    <w:rsid w:val="00A975DC"/>
    <w:rsid w:val="00AA0FAD"/>
    <w:rsid w:val="00AA0FDF"/>
    <w:rsid w:val="00AA4F94"/>
    <w:rsid w:val="00AA6429"/>
    <w:rsid w:val="00AA6466"/>
    <w:rsid w:val="00AA67E0"/>
    <w:rsid w:val="00AA6B75"/>
    <w:rsid w:val="00AB0594"/>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7321"/>
    <w:rsid w:val="00AE0A01"/>
    <w:rsid w:val="00AE30B2"/>
    <w:rsid w:val="00AE402C"/>
    <w:rsid w:val="00AE51CD"/>
    <w:rsid w:val="00AE6220"/>
    <w:rsid w:val="00AF0BC3"/>
    <w:rsid w:val="00B01721"/>
    <w:rsid w:val="00B02048"/>
    <w:rsid w:val="00B05D34"/>
    <w:rsid w:val="00B0712D"/>
    <w:rsid w:val="00B102F8"/>
    <w:rsid w:val="00B106D3"/>
    <w:rsid w:val="00B11634"/>
    <w:rsid w:val="00B11A18"/>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24F"/>
    <w:rsid w:val="00B66738"/>
    <w:rsid w:val="00B67699"/>
    <w:rsid w:val="00B717ED"/>
    <w:rsid w:val="00B7245A"/>
    <w:rsid w:val="00B74016"/>
    <w:rsid w:val="00B750AC"/>
    <w:rsid w:val="00B750C5"/>
    <w:rsid w:val="00B76DD6"/>
    <w:rsid w:val="00B76EFE"/>
    <w:rsid w:val="00B810FC"/>
    <w:rsid w:val="00B84445"/>
    <w:rsid w:val="00B877E3"/>
    <w:rsid w:val="00B90492"/>
    <w:rsid w:val="00B93296"/>
    <w:rsid w:val="00B9534D"/>
    <w:rsid w:val="00B961D7"/>
    <w:rsid w:val="00B979EF"/>
    <w:rsid w:val="00BA0BB3"/>
    <w:rsid w:val="00BA17D2"/>
    <w:rsid w:val="00BA1A62"/>
    <w:rsid w:val="00BA4D8C"/>
    <w:rsid w:val="00BA601F"/>
    <w:rsid w:val="00BA637D"/>
    <w:rsid w:val="00BA73EA"/>
    <w:rsid w:val="00BA752C"/>
    <w:rsid w:val="00BB22E0"/>
    <w:rsid w:val="00BB58C5"/>
    <w:rsid w:val="00BB6E61"/>
    <w:rsid w:val="00BB7785"/>
    <w:rsid w:val="00BB77D8"/>
    <w:rsid w:val="00BC186D"/>
    <w:rsid w:val="00BC2AD9"/>
    <w:rsid w:val="00BC4AF5"/>
    <w:rsid w:val="00BC61C2"/>
    <w:rsid w:val="00BD0156"/>
    <w:rsid w:val="00BD218F"/>
    <w:rsid w:val="00BD2814"/>
    <w:rsid w:val="00BD3C7A"/>
    <w:rsid w:val="00BD463E"/>
    <w:rsid w:val="00BD4814"/>
    <w:rsid w:val="00BD6003"/>
    <w:rsid w:val="00BE45AC"/>
    <w:rsid w:val="00BE5058"/>
    <w:rsid w:val="00BF3CB3"/>
    <w:rsid w:val="00BF536B"/>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5EE6"/>
    <w:rsid w:val="00C76CED"/>
    <w:rsid w:val="00C77BFA"/>
    <w:rsid w:val="00C77E7C"/>
    <w:rsid w:val="00C835A9"/>
    <w:rsid w:val="00C84217"/>
    <w:rsid w:val="00C844AD"/>
    <w:rsid w:val="00C85543"/>
    <w:rsid w:val="00C86B55"/>
    <w:rsid w:val="00C86D01"/>
    <w:rsid w:val="00C90685"/>
    <w:rsid w:val="00C906E1"/>
    <w:rsid w:val="00C90723"/>
    <w:rsid w:val="00C9173B"/>
    <w:rsid w:val="00C921E8"/>
    <w:rsid w:val="00C952C9"/>
    <w:rsid w:val="00C95316"/>
    <w:rsid w:val="00C96B3C"/>
    <w:rsid w:val="00CA21B1"/>
    <w:rsid w:val="00CA2F90"/>
    <w:rsid w:val="00CA3D87"/>
    <w:rsid w:val="00CA69FF"/>
    <w:rsid w:val="00CA6A10"/>
    <w:rsid w:val="00CB0476"/>
    <w:rsid w:val="00CB12B9"/>
    <w:rsid w:val="00CB6AEB"/>
    <w:rsid w:val="00CC0051"/>
    <w:rsid w:val="00CC35F3"/>
    <w:rsid w:val="00CC5840"/>
    <w:rsid w:val="00CD0B3C"/>
    <w:rsid w:val="00CD315D"/>
    <w:rsid w:val="00CD4A4C"/>
    <w:rsid w:val="00CD4BD2"/>
    <w:rsid w:val="00CD4F60"/>
    <w:rsid w:val="00CE10B8"/>
    <w:rsid w:val="00CE1E2E"/>
    <w:rsid w:val="00CE2D6A"/>
    <w:rsid w:val="00CE6005"/>
    <w:rsid w:val="00CF3811"/>
    <w:rsid w:val="00CF6D9A"/>
    <w:rsid w:val="00D0076B"/>
    <w:rsid w:val="00D007AF"/>
    <w:rsid w:val="00D0275D"/>
    <w:rsid w:val="00D0467A"/>
    <w:rsid w:val="00D05A3D"/>
    <w:rsid w:val="00D1097C"/>
    <w:rsid w:val="00D12969"/>
    <w:rsid w:val="00D1298F"/>
    <w:rsid w:val="00D1593C"/>
    <w:rsid w:val="00D21B1C"/>
    <w:rsid w:val="00D222F5"/>
    <w:rsid w:val="00D25617"/>
    <w:rsid w:val="00D26A82"/>
    <w:rsid w:val="00D30065"/>
    <w:rsid w:val="00D310ED"/>
    <w:rsid w:val="00D33429"/>
    <w:rsid w:val="00D410B5"/>
    <w:rsid w:val="00D415DC"/>
    <w:rsid w:val="00D4719E"/>
    <w:rsid w:val="00D47217"/>
    <w:rsid w:val="00D47B69"/>
    <w:rsid w:val="00D5139E"/>
    <w:rsid w:val="00D56D00"/>
    <w:rsid w:val="00D641EA"/>
    <w:rsid w:val="00D65F99"/>
    <w:rsid w:val="00D66A08"/>
    <w:rsid w:val="00D70A77"/>
    <w:rsid w:val="00D76FBF"/>
    <w:rsid w:val="00D77199"/>
    <w:rsid w:val="00D834E5"/>
    <w:rsid w:val="00D84FEF"/>
    <w:rsid w:val="00D8554F"/>
    <w:rsid w:val="00D857C0"/>
    <w:rsid w:val="00D86337"/>
    <w:rsid w:val="00D86DD8"/>
    <w:rsid w:val="00D91694"/>
    <w:rsid w:val="00D931D3"/>
    <w:rsid w:val="00D936F9"/>
    <w:rsid w:val="00D9491E"/>
    <w:rsid w:val="00D972B7"/>
    <w:rsid w:val="00DA0404"/>
    <w:rsid w:val="00DA0CCF"/>
    <w:rsid w:val="00DA0F46"/>
    <w:rsid w:val="00DA646E"/>
    <w:rsid w:val="00DA78E1"/>
    <w:rsid w:val="00DA7930"/>
    <w:rsid w:val="00DB1A9F"/>
    <w:rsid w:val="00DB3F68"/>
    <w:rsid w:val="00DB40B8"/>
    <w:rsid w:val="00DB470C"/>
    <w:rsid w:val="00DB6E83"/>
    <w:rsid w:val="00DC1205"/>
    <w:rsid w:val="00DC144E"/>
    <w:rsid w:val="00DC18A0"/>
    <w:rsid w:val="00DC74C9"/>
    <w:rsid w:val="00DC7B4C"/>
    <w:rsid w:val="00DD2091"/>
    <w:rsid w:val="00DD4040"/>
    <w:rsid w:val="00DD481D"/>
    <w:rsid w:val="00DD4AE4"/>
    <w:rsid w:val="00DD737D"/>
    <w:rsid w:val="00DD7520"/>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207AE"/>
    <w:rsid w:val="00E21965"/>
    <w:rsid w:val="00E227B7"/>
    <w:rsid w:val="00E22B5C"/>
    <w:rsid w:val="00E22E7C"/>
    <w:rsid w:val="00E259E4"/>
    <w:rsid w:val="00E26324"/>
    <w:rsid w:val="00E26550"/>
    <w:rsid w:val="00E30AF1"/>
    <w:rsid w:val="00E30F14"/>
    <w:rsid w:val="00E36220"/>
    <w:rsid w:val="00E369A2"/>
    <w:rsid w:val="00E41DA3"/>
    <w:rsid w:val="00E42306"/>
    <w:rsid w:val="00E43E8C"/>
    <w:rsid w:val="00E45CDE"/>
    <w:rsid w:val="00E50CFF"/>
    <w:rsid w:val="00E513E3"/>
    <w:rsid w:val="00E57393"/>
    <w:rsid w:val="00E60250"/>
    <w:rsid w:val="00E60556"/>
    <w:rsid w:val="00E67040"/>
    <w:rsid w:val="00E701C8"/>
    <w:rsid w:val="00E72D85"/>
    <w:rsid w:val="00E74619"/>
    <w:rsid w:val="00E76A62"/>
    <w:rsid w:val="00E8261E"/>
    <w:rsid w:val="00E84478"/>
    <w:rsid w:val="00E855C0"/>
    <w:rsid w:val="00E859A1"/>
    <w:rsid w:val="00E87CD4"/>
    <w:rsid w:val="00E9000D"/>
    <w:rsid w:val="00E917EF"/>
    <w:rsid w:val="00E94771"/>
    <w:rsid w:val="00E94A67"/>
    <w:rsid w:val="00E94FF2"/>
    <w:rsid w:val="00E9589B"/>
    <w:rsid w:val="00E95CEC"/>
    <w:rsid w:val="00E96C47"/>
    <w:rsid w:val="00E978E4"/>
    <w:rsid w:val="00EA05A6"/>
    <w:rsid w:val="00EA089A"/>
    <w:rsid w:val="00EA1A9A"/>
    <w:rsid w:val="00EA252C"/>
    <w:rsid w:val="00EB0D53"/>
    <w:rsid w:val="00EB1AD3"/>
    <w:rsid w:val="00EB4FBE"/>
    <w:rsid w:val="00EB5FEC"/>
    <w:rsid w:val="00EB7744"/>
    <w:rsid w:val="00EC17B3"/>
    <w:rsid w:val="00EC4BE5"/>
    <w:rsid w:val="00ED140B"/>
    <w:rsid w:val="00ED24E5"/>
    <w:rsid w:val="00EE11AA"/>
    <w:rsid w:val="00EE2249"/>
    <w:rsid w:val="00EE2976"/>
    <w:rsid w:val="00EE477E"/>
    <w:rsid w:val="00EE62A9"/>
    <w:rsid w:val="00EE71A0"/>
    <w:rsid w:val="00EF042C"/>
    <w:rsid w:val="00EF72B2"/>
    <w:rsid w:val="00EF76C2"/>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3EF1"/>
    <w:rsid w:val="00F514EE"/>
    <w:rsid w:val="00F5390C"/>
    <w:rsid w:val="00F545DC"/>
    <w:rsid w:val="00F57273"/>
    <w:rsid w:val="00F57769"/>
    <w:rsid w:val="00F5797E"/>
    <w:rsid w:val="00F61B60"/>
    <w:rsid w:val="00F661A4"/>
    <w:rsid w:val="00F709E5"/>
    <w:rsid w:val="00F70E6B"/>
    <w:rsid w:val="00F73CF7"/>
    <w:rsid w:val="00F754D0"/>
    <w:rsid w:val="00F761A1"/>
    <w:rsid w:val="00F76C9F"/>
    <w:rsid w:val="00F829B1"/>
    <w:rsid w:val="00F84573"/>
    <w:rsid w:val="00F85804"/>
    <w:rsid w:val="00F860B6"/>
    <w:rsid w:val="00F90FFD"/>
    <w:rsid w:val="00F91324"/>
    <w:rsid w:val="00F91D06"/>
    <w:rsid w:val="00F92195"/>
    <w:rsid w:val="00F929CC"/>
    <w:rsid w:val="00F92A30"/>
    <w:rsid w:val="00F92ECA"/>
    <w:rsid w:val="00F9408D"/>
    <w:rsid w:val="00F9732E"/>
    <w:rsid w:val="00F9787A"/>
    <w:rsid w:val="00FA2B10"/>
    <w:rsid w:val="00FA4851"/>
    <w:rsid w:val="00FA5755"/>
    <w:rsid w:val="00FB1156"/>
    <w:rsid w:val="00FB210C"/>
    <w:rsid w:val="00FB6057"/>
    <w:rsid w:val="00FB6634"/>
    <w:rsid w:val="00FC10B2"/>
    <w:rsid w:val="00FC1C68"/>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16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 w:id="2139832615">
      <w:bodyDiv w:val="1"/>
      <w:marLeft w:val="0"/>
      <w:marRight w:val="0"/>
      <w:marTop w:val="0"/>
      <w:marBottom w:val="0"/>
      <w:divBdr>
        <w:top w:val="none" w:sz="0" w:space="0" w:color="auto"/>
        <w:left w:val="none" w:sz="0" w:space="0" w:color="auto"/>
        <w:bottom w:val="none" w:sz="0" w:space="0" w:color="auto"/>
        <w:right w:val="none" w:sz="0" w:space="0" w:color="auto"/>
      </w:divBdr>
      <w:divsChild>
        <w:div w:id="1896773885">
          <w:marLeft w:val="0"/>
          <w:marRight w:val="0"/>
          <w:marTop w:val="0"/>
          <w:marBottom w:val="240"/>
          <w:divBdr>
            <w:top w:val="none" w:sz="0" w:space="0" w:color="auto"/>
            <w:left w:val="none" w:sz="0" w:space="0" w:color="auto"/>
            <w:bottom w:val="none" w:sz="0" w:space="0" w:color="auto"/>
            <w:right w:val="none" w:sz="0" w:space="0" w:color="auto"/>
          </w:divBdr>
        </w:div>
        <w:div w:id="5043200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craig@fire.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VanSusteren@bof.ca.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Pages>
  <Words>737</Words>
  <Characters>4202</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10</cp:revision>
  <cp:lastPrinted>2020-05-27T18:17:00Z</cp:lastPrinted>
  <dcterms:created xsi:type="dcterms:W3CDTF">2024-10-24T22:38:00Z</dcterms:created>
  <dcterms:modified xsi:type="dcterms:W3CDTF">2024-10-29T21:19:00Z</dcterms:modified>
</cp:coreProperties>
</file>