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DA373" w14:textId="77777777" w:rsidR="002409CB" w:rsidRPr="007E4441" w:rsidRDefault="002409CB" w:rsidP="007E4441">
      <w:pPr>
        <w:jc w:val="center"/>
        <w:rPr>
          <w:b/>
        </w:rPr>
      </w:pPr>
      <w:r w:rsidRPr="007E4441">
        <w:rPr>
          <w:b/>
        </w:rPr>
        <w:t>Board of Forestry and Fire Protection</w:t>
      </w:r>
    </w:p>
    <w:p w14:paraId="7B543CF4" w14:textId="77777777" w:rsidR="002409CB" w:rsidRPr="00151C52" w:rsidRDefault="002409CB" w:rsidP="007E4441"/>
    <w:p w14:paraId="69B35619" w14:textId="77777777" w:rsidR="002409CB" w:rsidRPr="002409CB" w:rsidRDefault="002409CB" w:rsidP="007E4441">
      <w:pPr>
        <w:pStyle w:val="Title"/>
      </w:pPr>
      <w:r w:rsidRPr="002409CB">
        <w:t>SUPPLEMENTAL STATEMENT OF REASONS</w:t>
      </w:r>
    </w:p>
    <w:p w14:paraId="1FFAE7DB" w14:textId="77777777" w:rsidR="002409CB" w:rsidRPr="001B1125" w:rsidRDefault="002409CB" w:rsidP="007E4441"/>
    <w:p w14:paraId="6125B31C" w14:textId="03223E18" w:rsidR="006175FC" w:rsidRPr="00A01BB7" w:rsidRDefault="006175FC" w:rsidP="007E4441">
      <w:pPr>
        <w:pStyle w:val="Subtitle"/>
      </w:pPr>
      <w:r w:rsidRPr="00A01BB7">
        <w:rPr>
          <w:bCs/>
        </w:rPr>
        <w:t xml:space="preserve"> “</w:t>
      </w:r>
      <w:r w:rsidR="00D9412A" w:rsidRPr="00D9412A">
        <w:t>Less Than 3-acre Conversion Exemption Amendments, 2024</w:t>
      </w:r>
      <w:r w:rsidRPr="00A01BB7">
        <w:rPr>
          <w:bCs/>
        </w:rPr>
        <w:t>”</w:t>
      </w:r>
    </w:p>
    <w:p w14:paraId="7E5533D4" w14:textId="77777777" w:rsidR="006175FC" w:rsidRPr="00A01BB7" w:rsidRDefault="006175FC" w:rsidP="007E4441">
      <w:pPr>
        <w:pStyle w:val="Subtitle"/>
      </w:pPr>
      <w:r w:rsidRPr="00A01BB7">
        <w:t>Title 14 of the California Code of Regulations (14 CCR),</w:t>
      </w:r>
    </w:p>
    <w:p w14:paraId="25B23E95" w14:textId="29491682" w:rsidR="006175FC" w:rsidRDefault="006175FC" w:rsidP="007E4441">
      <w:pPr>
        <w:pStyle w:val="Subtitle"/>
      </w:pPr>
      <w:r w:rsidRPr="00A01BB7">
        <w:t xml:space="preserve">Division 1.5, Chapter 4, </w:t>
      </w:r>
    </w:p>
    <w:p w14:paraId="20D3549D" w14:textId="53B4E154" w:rsidR="006175FC" w:rsidRDefault="006175FC" w:rsidP="009D16B9">
      <w:pPr>
        <w:pStyle w:val="Subtitle"/>
      </w:pPr>
      <w:r w:rsidRPr="00A01BB7">
        <w:t xml:space="preserve">Subchapter </w:t>
      </w:r>
      <w:r w:rsidR="00296D33">
        <w:t>7</w:t>
      </w:r>
    </w:p>
    <w:p w14:paraId="6ABC6145" w14:textId="77777777" w:rsidR="006175FC" w:rsidRPr="00A01BB7" w:rsidRDefault="006175FC" w:rsidP="007E4441"/>
    <w:p w14:paraId="71A032B2" w14:textId="61F18E83" w:rsidR="00254247" w:rsidRPr="0037132D" w:rsidRDefault="002409CB" w:rsidP="007E4441">
      <w:pPr>
        <w:rPr>
          <w:rFonts w:eastAsia="Times New Roman"/>
        </w:rPr>
      </w:pPr>
      <w:r>
        <w:rPr>
          <w:bCs/>
        </w:rPr>
        <w:t>The Board of Forestry and Fire Protection (Board)</w:t>
      </w:r>
      <w:r w:rsidRPr="004D0D01">
        <w:rPr>
          <w:bCs/>
        </w:rPr>
        <w:t xml:space="preserve"> </w:t>
      </w:r>
      <w:r w:rsidR="00254247" w:rsidRPr="00614449">
        <w:t>intends this Supplement</w:t>
      </w:r>
      <w:r w:rsidR="00C67989">
        <w:t xml:space="preserve"> to the Initial Statem</w:t>
      </w:r>
      <w:r w:rsidR="00240AA1">
        <w:t>en</w:t>
      </w:r>
      <w:r w:rsidR="00DE030E">
        <w:t xml:space="preserve">t of Reasons (ISOR) to reflect changes that have been made to the 45-Day proposed rule text </w:t>
      </w:r>
      <w:r w:rsidR="00485737">
        <w:t>and Initial Statement of Reasons</w:t>
      </w:r>
      <w:r w:rsidR="00770278">
        <w:t xml:space="preserve">, which was distributed </w:t>
      </w:r>
      <w:r w:rsidR="00770278" w:rsidRPr="0037132D">
        <w:t xml:space="preserve">on </w:t>
      </w:r>
      <w:r w:rsidR="00FE4FAD" w:rsidRPr="00722171">
        <w:t>June 7</w:t>
      </w:r>
      <w:r w:rsidR="00DC5607" w:rsidRPr="00722171">
        <w:t>, 202</w:t>
      </w:r>
      <w:r w:rsidR="0037132D" w:rsidRPr="00722171">
        <w:t>4</w:t>
      </w:r>
      <w:r w:rsidR="00770278" w:rsidRPr="0037132D">
        <w:t>.</w:t>
      </w:r>
    </w:p>
    <w:p w14:paraId="29C5DB5D" w14:textId="77777777" w:rsidR="00DE030E" w:rsidRDefault="00DE030E" w:rsidP="007E4441"/>
    <w:p w14:paraId="4888CEFE" w14:textId="32B0E5F6" w:rsidR="00FE4FAD" w:rsidRDefault="001D6C74" w:rsidP="0054398C">
      <w:pPr>
        <w:pStyle w:val="Heading1"/>
      </w:pPr>
      <w:r w:rsidRPr="001D6C74">
        <w:t>SPECIFIC PURPOSE OF EACH ADOPTION, AMENDMENT OR REPEAL (pursuant to GOV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GOV §§ 11346.2(b)(1) and</w:t>
      </w:r>
      <w:r w:rsidR="00756612">
        <w:t xml:space="preserve"> </w:t>
      </w:r>
      <w:r w:rsidRPr="001D6C74">
        <w:t>11349(a)  and  1  CCR § 10(b)).</w:t>
      </w:r>
      <w:r w:rsidRPr="001D6C74">
        <w:tab/>
      </w:r>
    </w:p>
    <w:p w14:paraId="6A75BA60" w14:textId="77777777" w:rsidR="00FE4FAD" w:rsidRDefault="00FE4FAD" w:rsidP="00FE4FAD"/>
    <w:p w14:paraId="198853B8" w14:textId="77777777" w:rsidR="00B9591F" w:rsidRDefault="00B9591F" w:rsidP="00B9591F">
      <w:pPr>
        <w:pStyle w:val="Heading2"/>
      </w:pPr>
      <w:r w:rsidRPr="00FE4FAD">
        <w:t>Amend §§ 1104.1(a)</w:t>
      </w:r>
      <w:r>
        <w:t>(1)(A)</w:t>
      </w:r>
    </w:p>
    <w:p w14:paraId="37A64652" w14:textId="78AC123D" w:rsidR="00B9591F" w:rsidRDefault="006F7EB8" w:rsidP="00B9591F">
      <w:r>
        <w:t>Th</w:t>
      </w:r>
      <w:r w:rsidR="00C9190B">
        <w:t>e proposed rule</w:t>
      </w:r>
      <w:r>
        <w:t xml:space="preserve"> change modifies the</w:t>
      </w:r>
      <w:r w:rsidR="00073C34">
        <w:t xml:space="preserve"> sentence</w:t>
      </w:r>
      <w:r w:rsidR="00B9591F">
        <w:t xml:space="preserve"> </w:t>
      </w:r>
      <w:r w:rsidR="00F41A1A">
        <w:t>“</w:t>
      </w:r>
      <w:r w:rsidR="00F41A1A" w:rsidRPr="00F41A1A">
        <w:t>Legal description of the location, county, and assessor parcel number(s) where the Timber Operation</w:t>
      </w:r>
      <w:r w:rsidR="00F41A1A">
        <w:t>”</w:t>
      </w:r>
      <w:r>
        <w:t xml:space="preserve"> to include “s are proposed.” </w:t>
      </w:r>
      <w:r w:rsidR="0054398C">
        <w:t xml:space="preserve">at the end. The problem was that the modified sentence in the rule text was not complete. The purpose of the change was to correct the grammar error. This is necessary for the clarity and consistency of the rules. </w:t>
      </w:r>
    </w:p>
    <w:p w14:paraId="2142C4E5" w14:textId="77777777" w:rsidR="00B9591F" w:rsidRDefault="00B9591F" w:rsidP="00FE4FAD"/>
    <w:p w14:paraId="4BE383DD" w14:textId="0E1CE327" w:rsidR="0020080A" w:rsidRDefault="0020080A" w:rsidP="0020080A">
      <w:pPr>
        <w:pStyle w:val="Heading2"/>
      </w:pPr>
      <w:r w:rsidRPr="00FE4FAD">
        <w:t>Amend §§ 1104.1(a)</w:t>
      </w:r>
      <w:r>
        <w:t>(11)</w:t>
      </w:r>
    </w:p>
    <w:p w14:paraId="758514D1" w14:textId="18182097" w:rsidR="0020080A" w:rsidRDefault="00080DEF" w:rsidP="00FE4FAD">
      <w:r>
        <w:t>Th</w:t>
      </w:r>
      <w:r w:rsidR="00C9190B">
        <w:t>e proposed rule c</w:t>
      </w:r>
      <w:r>
        <w:t>hange r</w:t>
      </w:r>
      <w:r w:rsidR="0020080A">
        <w:t>emoves references to</w:t>
      </w:r>
      <w:r>
        <w:t xml:space="preserve"> the</w:t>
      </w:r>
      <w:r w:rsidR="0020080A">
        <w:t xml:space="preserve"> contiguous land ownership waiver</w:t>
      </w:r>
      <w:r w:rsidR="00722171">
        <w:t xml:space="preserve"> as </w:t>
      </w:r>
      <w:r w:rsidR="0020080A">
        <w:t xml:space="preserve">that waiver is now covered in </w:t>
      </w:r>
      <w:r w:rsidR="0020080A" w:rsidRPr="0020080A">
        <w:t>§1104.1(a)(1</w:t>
      </w:r>
      <w:r w:rsidR="0020080A">
        <w:t>3</w:t>
      </w:r>
      <w:r w:rsidR="0020080A" w:rsidRPr="0020080A">
        <w:t>)</w:t>
      </w:r>
      <w:r w:rsidR="0020080A">
        <w:t xml:space="preserve">. </w:t>
      </w:r>
      <w:r w:rsidR="00610D33">
        <w:t>The prob</w:t>
      </w:r>
      <w:r w:rsidR="004D67AF">
        <w:t xml:space="preserve">lem is that </w:t>
      </w:r>
      <w:r w:rsidR="00AF667F">
        <w:t xml:space="preserve">the </w:t>
      </w:r>
      <w:r w:rsidR="00C05D25">
        <w:t>contiguous land ownership waiver and the five-year waiver apply in different circumstances and should have different requirement</w:t>
      </w:r>
      <w:r w:rsidR="002F16F4">
        <w:t>s</w:t>
      </w:r>
      <w:r w:rsidR="00BF4151">
        <w:t xml:space="preserve">: </w:t>
      </w:r>
      <w:r w:rsidR="001C1947">
        <w:t>circumstance</w:t>
      </w:r>
      <w:r w:rsidR="003B7326">
        <w:t>s</w:t>
      </w:r>
      <w:r w:rsidR="001C1947">
        <w:t xml:space="preserve"> such </w:t>
      </w:r>
      <w:r w:rsidR="002F16F4">
        <w:t xml:space="preserve">the </w:t>
      </w:r>
      <w:r w:rsidR="001C1947">
        <w:t>as</w:t>
      </w:r>
      <w:r w:rsidR="002F16F4">
        <w:t xml:space="preserve"> the applicant </w:t>
      </w:r>
      <w:r w:rsidR="001C1947">
        <w:t xml:space="preserve">incurring </w:t>
      </w:r>
      <w:r w:rsidR="00211C1F">
        <w:t>liabilities or obtained a building permit</w:t>
      </w:r>
      <w:r w:rsidR="001C1947">
        <w:t xml:space="preserve">; </w:t>
      </w:r>
      <w:r w:rsidR="003B7326">
        <w:t>a change in ownership via methods other than sale</w:t>
      </w:r>
      <w:r w:rsidR="00BF4151">
        <w:t>;</w:t>
      </w:r>
      <w:r w:rsidR="003B7326">
        <w:t xml:space="preserve"> or </w:t>
      </w:r>
      <w:r w:rsidR="00BF4151">
        <w:t xml:space="preserve">the expiration of the previous notice of conversion exemption </w:t>
      </w:r>
      <w:r w:rsidR="009B608F">
        <w:t xml:space="preserve">apply only to the waiver of </w:t>
      </w:r>
      <w:r w:rsidR="002C16A6">
        <w:t xml:space="preserve">the requirement that a party may only have one notice of conversion exemption per five year period. </w:t>
      </w:r>
      <w:r w:rsidR="007A6389">
        <w:t>The purpose of the changes is to separate the two waivers into distinct items with appropriate</w:t>
      </w:r>
      <w:r w:rsidR="009F225D">
        <w:t xml:space="preserve"> requirements for each. This is necessary to prevent serial conversion under the </w:t>
      </w:r>
      <w:r w:rsidR="00D7078A">
        <w:t xml:space="preserve">contiguous land ownership waiver, </w:t>
      </w:r>
      <w:r w:rsidR="00511D8E">
        <w:t xml:space="preserve">which is </w:t>
      </w:r>
      <w:r w:rsidR="00D7078A">
        <w:t xml:space="preserve">now in </w:t>
      </w:r>
      <w:r w:rsidR="00D7078A" w:rsidRPr="0020080A">
        <w:t>§1104.1(a)(1</w:t>
      </w:r>
      <w:r w:rsidR="00D7078A">
        <w:t>3</w:t>
      </w:r>
      <w:r w:rsidR="00D7078A" w:rsidRPr="0020080A">
        <w:t>)</w:t>
      </w:r>
      <w:r w:rsidR="00D7078A">
        <w:t>.</w:t>
      </w:r>
    </w:p>
    <w:p w14:paraId="4B0AD416" w14:textId="77777777" w:rsidR="006D4083" w:rsidRDefault="006D4083" w:rsidP="00FE4FAD"/>
    <w:p w14:paraId="3E1680C4" w14:textId="7B924EC4" w:rsidR="0020080A" w:rsidRDefault="00441846" w:rsidP="0020080A">
      <w:pPr>
        <w:pStyle w:val="Heading2"/>
      </w:pPr>
      <w:r>
        <w:t>Adopt</w:t>
      </w:r>
      <w:r w:rsidR="0020080A" w:rsidRPr="00FE4FAD">
        <w:t xml:space="preserve"> §§ 1104.1(a)</w:t>
      </w:r>
      <w:r w:rsidR="0020080A">
        <w:t>(12)</w:t>
      </w:r>
    </w:p>
    <w:p w14:paraId="412C0871" w14:textId="23015E87" w:rsidR="00C9190B" w:rsidRDefault="00BC5D97" w:rsidP="00D31B74">
      <w:r>
        <w:t>Th</w:t>
      </w:r>
      <w:r w:rsidR="00392237">
        <w:t xml:space="preserve">e </w:t>
      </w:r>
      <w:r w:rsidR="00D31B74">
        <w:t xml:space="preserve">one-time waiver, formerly covered </w:t>
      </w:r>
      <w:r w:rsidR="008F487E">
        <w:t>under</w:t>
      </w:r>
      <w:r w:rsidR="00D31B74">
        <w:t xml:space="preserve"> </w:t>
      </w:r>
      <w:r w:rsidR="00D31B74" w:rsidRPr="00D31B74">
        <w:t>§</w:t>
      </w:r>
      <w:r w:rsidR="00D31B74">
        <w:t xml:space="preserve"> </w:t>
      </w:r>
      <w:r w:rsidR="00D31B74" w:rsidRPr="00D31B74">
        <w:t>1104.1(</w:t>
      </w:r>
      <w:r w:rsidR="00967456">
        <w:t>b)</w:t>
      </w:r>
      <w:r w:rsidR="00392237">
        <w:t>, is relocated adjacent to other waivers</w:t>
      </w:r>
      <w:r w:rsidR="006D4083">
        <w:t xml:space="preserve"> for the notice of conversion exemption</w:t>
      </w:r>
      <w:r w:rsidR="00D31B74">
        <w:t xml:space="preserve">. </w:t>
      </w:r>
      <w:r w:rsidR="0087684B">
        <w:t xml:space="preserve">The </w:t>
      </w:r>
      <w:r w:rsidR="00FE77A4">
        <w:t>problem is that th</w:t>
      </w:r>
      <w:r w:rsidR="00967456">
        <w:t>e previously proposed rule</w:t>
      </w:r>
      <w:r w:rsidR="00FE77A4">
        <w:t xml:space="preserve"> structure separates similar waiver structures. The purpose of </w:t>
      </w:r>
      <w:r w:rsidR="00603941">
        <w:t xml:space="preserve">the change is to place </w:t>
      </w:r>
      <w:r w:rsidR="00D449FA">
        <w:t xml:space="preserve">information on applying for </w:t>
      </w:r>
      <w:r w:rsidR="00603941">
        <w:t xml:space="preserve">waivers </w:t>
      </w:r>
      <w:r w:rsidR="00D449FA">
        <w:t xml:space="preserve">from requirements concerning </w:t>
      </w:r>
      <w:r w:rsidR="00603941">
        <w:t>notice of conversion exemption</w:t>
      </w:r>
      <w:r w:rsidR="00D449FA">
        <w:t xml:space="preserve">s in the same location of the regulations. This is necessary to promote the clarity and consistency of the rules. </w:t>
      </w:r>
    </w:p>
    <w:p w14:paraId="03620C94" w14:textId="77777777" w:rsidR="00C9190B" w:rsidRDefault="00C9190B" w:rsidP="00D31B74"/>
    <w:p w14:paraId="479F31D5" w14:textId="5B3F267C" w:rsidR="00D31B74" w:rsidRPr="00D31B74" w:rsidRDefault="00002567" w:rsidP="00D31B74">
      <w:r>
        <w:t xml:space="preserve">Items </w:t>
      </w:r>
      <w:r w:rsidR="00392237">
        <w:t xml:space="preserve">(B) and (C) are retained from the original proposed waiver. Item (A) </w:t>
      </w:r>
      <w:r w:rsidR="004B7F14">
        <w:t xml:space="preserve">requires that any timber operations conducted on a notice of conversion exemption issued to the timberland owner within the </w:t>
      </w:r>
      <w:r w:rsidR="004B7F14">
        <w:lastRenderedPageBreak/>
        <w:t>past five years must have been conducted in a manner that meets or exceeds the intent of the Forest Practice Act and Rules or that any corrective work required by the Director of CAL FIRE has been satisfactorily completed.</w:t>
      </w:r>
      <w:r w:rsidR="003B538B">
        <w:t xml:space="preserve"> </w:t>
      </w:r>
      <w:r w:rsidR="00CA1E8D">
        <w:t>The problem is that the propose</w:t>
      </w:r>
      <w:r w:rsidR="009B5797">
        <w:t xml:space="preserve">d text </w:t>
      </w:r>
      <w:r w:rsidR="006F150F">
        <w:t>did not address the need to confirm that</w:t>
      </w:r>
      <w:r w:rsidR="009B5797">
        <w:t xml:space="preserve"> timberland owners </w:t>
      </w:r>
      <w:r w:rsidR="006F150F">
        <w:t xml:space="preserve">seeking waivers </w:t>
      </w:r>
      <w:r w:rsidR="00FC254F">
        <w:t xml:space="preserve">to convert additional acreage from timberland </w:t>
      </w:r>
      <w:proofErr w:type="gramStart"/>
      <w:r w:rsidR="00FC254F">
        <w:t xml:space="preserve">were in compliance </w:t>
      </w:r>
      <w:r w:rsidR="009B5797">
        <w:t>with</w:t>
      </w:r>
      <w:proofErr w:type="gramEnd"/>
      <w:r w:rsidR="009B5797">
        <w:t xml:space="preserve"> the Forest Practice Act and Rules</w:t>
      </w:r>
      <w:r w:rsidR="00FC254F">
        <w:t xml:space="preserve">. The purpose of this change is to include </w:t>
      </w:r>
      <w:r w:rsidR="00F02C74">
        <w:t xml:space="preserve">a requirement </w:t>
      </w:r>
      <w:r w:rsidR="00751E20">
        <w:t xml:space="preserve">that </w:t>
      </w:r>
      <w:r w:rsidR="00BB4417">
        <w:t xml:space="preserve">timberland owners applying for a </w:t>
      </w:r>
      <w:proofErr w:type="spellStart"/>
      <w:r w:rsidR="00BB4417">
        <w:t>wavier</w:t>
      </w:r>
      <w:proofErr w:type="spellEnd"/>
      <w:r w:rsidR="00BB4417">
        <w:t xml:space="preserve"> from the one-time limitation be in good standing in terms of regulatory compliance for </w:t>
      </w:r>
      <w:r w:rsidR="00534BEA">
        <w:t xml:space="preserve">notice of conversion exemptions. </w:t>
      </w:r>
      <w:r w:rsidR="003B538B">
        <w:t>Item (D) requires that the t</w:t>
      </w:r>
      <w:r w:rsidR="003B538B" w:rsidRPr="003B538B">
        <w:t>imberland owner provide an explanation and justification for the need of a waiver that demonstrates that the imposition of the one-time limitation described in 14 CCR § 1104.1(a)</w:t>
      </w:r>
      <w:r w:rsidR="00C823A8">
        <w:t xml:space="preserve"> </w:t>
      </w:r>
      <w:r w:rsidR="003B538B" w:rsidRPr="003B538B">
        <w:t xml:space="preserve">would impose an undue hardship on the </w:t>
      </w:r>
      <w:r w:rsidR="0087684B">
        <w:t>t</w:t>
      </w:r>
      <w:r w:rsidR="003B538B" w:rsidRPr="003B538B">
        <w:t>imberland owner.</w:t>
      </w:r>
      <w:r w:rsidR="00234867">
        <w:t xml:space="preserve"> The problem is that the initial text </w:t>
      </w:r>
      <w:r w:rsidR="003631E5">
        <w:t>omitted</w:t>
      </w:r>
      <w:r w:rsidR="00234867">
        <w:t xml:space="preserve"> the requirement </w:t>
      </w:r>
      <w:r w:rsidR="003F078B">
        <w:t xml:space="preserve">in </w:t>
      </w:r>
      <w:r w:rsidR="003631E5">
        <w:t xml:space="preserve">the </w:t>
      </w:r>
      <w:r w:rsidR="003F078B">
        <w:t>recent changes to PRC § 4584(g)(2)(A)(iv) that allowed the Board to adopt a waiver of the one-time limitation on less than three</w:t>
      </w:r>
      <w:r w:rsidR="003631E5">
        <w:t>-</w:t>
      </w:r>
      <w:r w:rsidR="003F078B">
        <w:t>acre conversion if the one-time limitation would impose an undue hardship on the landowner. The purpose of the change is to require that the timberland owner provide a description of the undue hardship that warrants a waiver. This is necessary to comply with the requirements set in PRC § 4584(g)(2)(A)(iv)</w:t>
      </w:r>
      <w:r w:rsidR="0054183D">
        <w:t xml:space="preserve"> by AB 1526</w:t>
      </w:r>
      <w:r w:rsidR="003F078B">
        <w:t>.</w:t>
      </w:r>
    </w:p>
    <w:p w14:paraId="0F294A5D" w14:textId="77777777" w:rsidR="0020080A" w:rsidRDefault="0020080A" w:rsidP="00FE4FAD"/>
    <w:p w14:paraId="591061BE" w14:textId="6A84409C" w:rsidR="0020080A" w:rsidRDefault="00441846" w:rsidP="0020080A">
      <w:pPr>
        <w:pStyle w:val="Heading2"/>
      </w:pPr>
      <w:r>
        <w:t>Adopt</w:t>
      </w:r>
      <w:r w:rsidR="0020080A" w:rsidRPr="00FE4FAD">
        <w:t xml:space="preserve"> §</w:t>
      </w:r>
      <w:bookmarkStart w:id="0" w:name="_Hlk174705296"/>
      <w:r w:rsidR="0020080A" w:rsidRPr="00FE4FAD">
        <w:t>§</w:t>
      </w:r>
      <w:bookmarkEnd w:id="0"/>
      <w:r w:rsidR="0020080A" w:rsidRPr="00FE4FAD">
        <w:t xml:space="preserve"> 1104.1(a)</w:t>
      </w:r>
      <w:r w:rsidR="0020080A">
        <w:t>(13)</w:t>
      </w:r>
    </w:p>
    <w:p w14:paraId="633162AB" w14:textId="70A6FFDE" w:rsidR="002F106A" w:rsidRPr="00531934" w:rsidRDefault="00441846" w:rsidP="00FE4FAD">
      <w:r w:rsidRPr="00675F2B">
        <w:t>The</w:t>
      </w:r>
      <w:r w:rsidR="00ED2838">
        <w:t xml:space="preserve"> contiguous land ownership wavier, formerly covered by </w:t>
      </w:r>
      <w:r w:rsidR="00E80938">
        <w:t xml:space="preserve">§ </w:t>
      </w:r>
      <w:r w:rsidR="00E80938" w:rsidRPr="00E80938">
        <w:t>1104.1(a)(1</w:t>
      </w:r>
      <w:r w:rsidR="00E80938">
        <w:t>1</w:t>
      </w:r>
      <w:r w:rsidR="00E80938" w:rsidRPr="00E80938">
        <w:t>)</w:t>
      </w:r>
      <w:r w:rsidR="00377359">
        <w:t xml:space="preserve"> with the five-year waiver</w:t>
      </w:r>
      <w:r w:rsidR="00786017">
        <w:t>,</w:t>
      </w:r>
      <w:r w:rsidR="00D951EE">
        <w:t xml:space="preserve"> is relocated to § </w:t>
      </w:r>
      <w:r w:rsidR="00D951EE" w:rsidRPr="00E80938">
        <w:t>1104.1(a)(1</w:t>
      </w:r>
      <w:r w:rsidR="00D951EE">
        <w:t>3)</w:t>
      </w:r>
      <w:r w:rsidR="00F757C1">
        <w:t xml:space="preserve">. </w:t>
      </w:r>
      <w:r w:rsidR="0074308D">
        <w:t>The amended</w:t>
      </w:r>
      <w:r w:rsidR="00695D7E">
        <w:t xml:space="preserve"> </w:t>
      </w:r>
      <w:r w:rsidR="00425E31">
        <w:t>requirements for the waiver are as follows: Item</w:t>
      </w:r>
      <w:r w:rsidR="00196CBA">
        <w:t xml:space="preserve"> §</w:t>
      </w:r>
      <w:r w:rsidR="00196CBA" w:rsidRPr="00E80938">
        <w:t>1104.1(a)(1</w:t>
      </w:r>
      <w:r w:rsidR="00196CBA">
        <w:t>1</w:t>
      </w:r>
      <w:r w:rsidR="00196CBA" w:rsidRPr="00E80938">
        <w:t>)</w:t>
      </w:r>
      <w:r w:rsidR="00196CBA">
        <w:t>(</w:t>
      </w:r>
      <w:proofErr w:type="gramStart"/>
      <w:r w:rsidR="00196CBA">
        <w:t>A)(</w:t>
      </w:r>
      <w:proofErr w:type="gramEnd"/>
      <w:r w:rsidR="00196CBA">
        <w:t>3.)</w:t>
      </w:r>
      <w:r w:rsidR="00EA6B47">
        <w:t xml:space="preserve"> is retained </w:t>
      </w:r>
      <w:r w:rsidR="00446744">
        <w:t xml:space="preserve">in this </w:t>
      </w:r>
      <w:r w:rsidR="00C95004">
        <w:t xml:space="preserve">item </w:t>
      </w:r>
      <w:r w:rsidR="00EA6B47">
        <w:t>as</w:t>
      </w:r>
      <w:r w:rsidR="00DC5D1C">
        <w:t xml:space="preserve"> §</w:t>
      </w:r>
      <w:r w:rsidR="00DC5D1C" w:rsidRPr="00E80938">
        <w:t>1104.1(a)(1</w:t>
      </w:r>
      <w:r w:rsidR="00DC5D1C">
        <w:t>3</w:t>
      </w:r>
      <w:r w:rsidR="00DC5D1C" w:rsidRPr="00E80938">
        <w:t>)</w:t>
      </w:r>
      <w:r w:rsidR="00DC5D1C">
        <w:t>(A)</w:t>
      </w:r>
      <w:r w:rsidR="00446744">
        <w:t xml:space="preserve">. Item § </w:t>
      </w:r>
      <w:r w:rsidR="00446744" w:rsidRPr="00E80938">
        <w:t>1104.1(a)(1</w:t>
      </w:r>
      <w:r w:rsidR="00C95004">
        <w:t>3)(B)</w:t>
      </w:r>
      <w:r w:rsidR="00857326">
        <w:t xml:space="preserve"> requires that the </w:t>
      </w:r>
      <w:r w:rsidR="00397007">
        <w:t xml:space="preserve">area subject to conversion under the contiguous land ownership waiver is not on the same assessor’s parcel </w:t>
      </w:r>
      <w:r w:rsidR="00242A85">
        <w:t>as previously converted land</w:t>
      </w:r>
      <w:r w:rsidR="00435202">
        <w:t xml:space="preserve">. </w:t>
      </w:r>
      <w:r w:rsidR="002D4C1D">
        <w:t>The problem is that the contiguous land ownership waiver and the five-year waiver apply in different circumstances and should have different requirements. Also,</w:t>
      </w:r>
      <w:r w:rsidR="00242A85">
        <w:t xml:space="preserve"> some of the </w:t>
      </w:r>
      <w:r w:rsidR="00E11C43">
        <w:t>requirements for a five-year</w:t>
      </w:r>
      <w:r w:rsidR="007B5A40">
        <w:t xml:space="preserve"> waiver do not apply to the contiguous</w:t>
      </w:r>
      <w:r w:rsidR="007E699C">
        <w:t xml:space="preserve"> land ownership</w:t>
      </w:r>
      <w:r w:rsidR="007B5A40">
        <w:t xml:space="preserve"> waiver</w:t>
      </w:r>
      <w:r w:rsidR="007E699C">
        <w:t xml:space="preserve">. </w:t>
      </w:r>
      <w:r w:rsidR="006F3005">
        <w:t xml:space="preserve">Limitations on </w:t>
      </w:r>
      <w:r w:rsidR="00F43AE8">
        <w:t xml:space="preserve">the use of notices of </w:t>
      </w:r>
      <w:r w:rsidR="006F3005">
        <w:t xml:space="preserve">conversion </w:t>
      </w:r>
      <w:r w:rsidR="00F43AE8">
        <w:t xml:space="preserve">exemptions </w:t>
      </w:r>
      <w:r w:rsidR="006F3005">
        <w:t xml:space="preserve">within contiguous land ownerships are </w:t>
      </w:r>
      <w:r w:rsidR="00F43AE8">
        <w:t xml:space="preserve">to prevent large-scale conversion of timberland without appropriate environmental, regulatory, and community review. </w:t>
      </w:r>
      <w:r w:rsidR="008B12E5">
        <w:t xml:space="preserve">The requirements of the contiguous land ownership waiver, as written in </w:t>
      </w:r>
      <w:r w:rsidR="009C01B9">
        <w:t xml:space="preserve">the original rule text, would allow for </w:t>
      </w:r>
      <w:r w:rsidR="001F1B86">
        <w:t xml:space="preserve">repeated conversion without appropriate oversight. In addition, </w:t>
      </w:r>
      <w:r w:rsidR="00EB79E5">
        <w:t>the lack of requirement that the waiver apply to a different assessor’s parcel could allow for conversion of more than three acres on an assessor’s parcel</w:t>
      </w:r>
      <w:r w:rsidR="0015359A">
        <w:t xml:space="preserve">, which undermines the </w:t>
      </w:r>
      <w:r w:rsidR="00C97858">
        <w:t>limitations</w:t>
      </w:r>
      <w:r w:rsidR="0015359A">
        <w:t xml:space="preserve"> of the notice of conversion exemption as </w:t>
      </w:r>
      <w:r w:rsidR="00C97858">
        <w:t>set</w:t>
      </w:r>
      <w:r w:rsidR="0015359A">
        <w:t xml:space="preserve"> in </w:t>
      </w:r>
      <w:r w:rsidR="0015359A" w:rsidRPr="0015359A">
        <w:t>§</w:t>
      </w:r>
      <w:r w:rsidR="0015359A">
        <w:t>1104</w:t>
      </w:r>
      <w:r w:rsidR="004707D9">
        <w:t>.1(a)</w:t>
      </w:r>
      <w:r w:rsidR="00C97858">
        <w:t>(12)</w:t>
      </w:r>
      <w:r w:rsidR="00EB79E5">
        <w:t>. The purpose of this change is to</w:t>
      </w:r>
      <w:r w:rsidR="00C160AE">
        <w:t xml:space="preserve"> separate two dissimilar regulations and to replace</w:t>
      </w:r>
      <w:r w:rsidR="00EB79E5">
        <w:t xml:space="preserve"> non-relevant options for seeking a contiguous land ownership waiver</w:t>
      </w:r>
      <w:r w:rsidR="00C160AE">
        <w:t xml:space="preserve"> with a</w:t>
      </w:r>
      <w:r w:rsidR="00CC37CC">
        <w:t>n option that brings it into compliance with the requirements of 1104.1(a)</w:t>
      </w:r>
      <w:r w:rsidR="00C97858">
        <w:t xml:space="preserve">(12). This is necessary to promote the clarity and consistency of the rules and to minimize environmental impacts of </w:t>
      </w:r>
      <w:r w:rsidR="005E108F">
        <w:t xml:space="preserve">notice of conversion exemptions. </w:t>
      </w:r>
      <w:r w:rsidR="00435202">
        <w:t>Item §</w:t>
      </w:r>
      <w:r w:rsidR="00435202" w:rsidRPr="00E80938">
        <w:t>1104.1(a)(1</w:t>
      </w:r>
      <w:r w:rsidR="00435202">
        <w:t>1)(D) is retained as §</w:t>
      </w:r>
      <w:r w:rsidR="00435202" w:rsidRPr="00E80938">
        <w:t>1104.1(a)(1</w:t>
      </w:r>
      <w:r w:rsidR="00435202">
        <w:t>3</w:t>
      </w:r>
      <w:r w:rsidR="00435202" w:rsidRPr="00E80938">
        <w:t>)</w:t>
      </w:r>
      <w:r w:rsidR="00435202">
        <w:t>(C).</w:t>
      </w:r>
    </w:p>
    <w:p w14:paraId="31064F33" w14:textId="77777777" w:rsidR="005E108F" w:rsidRPr="00FE4FAD" w:rsidRDefault="005E108F" w:rsidP="00FE4FAD">
      <w:pPr>
        <w:rPr>
          <w:b/>
          <w:bCs/>
        </w:rPr>
      </w:pPr>
    </w:p>
    <w:p w14:paraId="45C9E676" w14:textId="63B11079" w:rsidR="00FE4FAD" w:rsidRPr="00FE4FAD" w:rsidRDefault="00FE4FAD" w:rsidP="00FE4FAD">
      <w:pPr>
        <w:rPr>
          <w:b/>
          <w:bCs/>
        </w:rPr>
      </w:pPr>
      <w:r w:rsidRPr="00FE4FAD">
        <w:rPr>
          <w:b/>
          <w:bCs/>
        </w:rPr>
        <w:t>Remove §§ 1104.1(b)</w:t>
      </w:r>
    </w:p>
    <w:p w14:paraId="0C8A14D1" w14:textId="025FA0CC" w:rsidR="00FE4FAD" w:rsidRPr="00443FFD" w:rsidRDefault="00975DD1" w:rsidP="007E4441">
      <w:pPr>
        <w:pStyle w:val="Heading2"/>
        <w:rPr>
          <w:b w:val="0"/>
          <w:bCs/>
          <w:highlight w:val="yellow"/>
        </w:rPr>
      </w:pPr>
      <w:r w:rsidRPr="00E11C43">
        <w:rPr>
          <w:b w:val="0"/>
          <w:bCs/>
        </w:rPr>
        <w:t>This subsection has been moved to</w:t>
      </w:r>
      <w:r w:rsidR="00722171" w:rsidRPr="00E11C43">
        <w:rPr>
          <w:b w:val="0"/>
          <w:bCs/>
        </w:rPr>
        <w:t xml:space="preserve"> </w:t>
      </w:r>
      <w:r w:rsidR="00441846" w:rsidRPr="00E11C43">
        <w:rPr>
          <w:b w:val="0"/>
          <w:bCs/>
        </w:rPr>
        <w:t xml:space="preserve">§ 1104.1(a)(12). </w:t>
      </w:r>
      <w:r w:rsidRPr="00E11C43">
        <w:rPr>
          <w:b w:val="0"/>
          <w:bCs/>
        </w:rPr>
        <w:t>The problem was that waivers to the requirements for notice</w:t>
      </w:r>
      <w:r>
        <w:rPr>
          <w:b w:val="0"/>
          <w:bCs/>
        </w:rPr>
        <w:t xml:space="preserve"> of conversion exemptions were in separate parts of the regulations, complicating compliance. The purpose of this change is to </w:t>
      </w:r>
      <w:r w:rsidR="00443FFD">
        <w:rPr>
          <w:b w:val="0"/>
          <w:bCs/>
        </w:rPr>
        <w:t xml:space="preserve">place similar regulatory processes in similar parts of the Forest Practice Rules. This is necessary for the clarity and consistency of the rules. </w:t>
      </w:r>
    </w:p>
    <w:p w14:paraId="37310FA9" w14:textId="77777777" w:rsidR="00FE4FAD" w:rsidRDefault="00FE4FAD" w:rsidP="007E4441">
      <w:pPr>
        <w:pStyle w:val="Heading2"/>
        <w:rPr>
          <w:highlight w:val="yellow"/>
        </w:rPr>
      </w:pPr>
    </w:p>
    <w:p w14:paraId="42636E92" w14:textId="77777777" w:rsidR="00B9591F" w:rsidRPr="00B9591F" w:rsidRDefault="00B9591F" w:rsidP="00B9591F">
      <w:pPr>
        <w:rPr>
          <w:b/>
        </w:rPr>
      </w:pPr>
      <w:r w:rsidRPr="00B9591F">
        <w:rPr>
          <w:b/>
        </w:rPr>
        <w:t>Non-Substantive Amendments</w:t>
      </w:r>
    </w:p>
    <w:p w14:paraId="3DC6ACCA" w14:textId="09DF8C64" w:rsidR="00975DD1" w:rsidRPr="00975DD1" w:rsidRDefault="0020080A" w:rsidP="00975DD1">
      <w:pPr>
        <w:pStyle w:val="ListParagraph"/>
        <w:numPr>
          <w:ilvl w:val="0"/>
          <w:numId w:val="10"/>
        </w:numPr>
        <w:rPr>
          <w:bCs/>
        </w:rPr>
      </w:pPr>
      <w:r w:rsidRPr="00975DD1">
        <w:rPr>
          <w:bCs/>
        </w:rPr>
        <w:t xml:space="preserve">Corrected numbering to reflect addition/deletion of new </w:t>
      </w:r>
      <w:r w:rsidR="00975DD1" w:rsidRPr="00975DD1">
        <w:rPr>
          <w:bCs/>
        </w:rPr>
        <w:t xml:space="preserve">sections </w:t>
      </w:r>
    </w:p>
    <w:p w14:paraId="6431D7B2" w14:textId="537B0FBF" w:rsidR="00E21D0C" w:rsidRPr="00531934" w:rsidRDefault="00975DD1" w:rsidP="007A15F0">
      <w:pPr>
        <w:pStyle w:val="ListParagraph"/>
        <w:numPr>
          <w:ilvl w:val="0"/>
          <w:numId w:val="10"/>
        </w:numPr>
        <w:rPr>
          <w:bCs/>
        </w:rPr>
      </w:pPr>
      <w:r>
        <w:rPr>
          <w:bCs/>
        </w:rPr>
        <w:t>C</w:t>
      </w:r>
      <w:r w:rsidR="00B9591F" w:rsidRPr="00975DD1">
        <w:rPr>
          <w:bCs/>
        </w:rPr>
        <w:t>orrected references to reflect current numbering.</w:t>
      </w:r>
    </w:p>
    <w:sectPr w:rsidR="00E21D0C" w:rsidRPr="00531934" w:rsidSect="005A0A61">
      <w:headerReference w:type="default" r:id="rId11"/>
      <w:footerReference w:type="default" r:id="rId12"/>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F264C" w14:textId="77777777" w:rsidR="003D389F" w:rsidRDefault="003D389F" w:rsidP="007E4441">
      <w:r>
        <w:separator/>
      </w:r>
    </w:p>
    <w:p w14:paraId="34CD089A" w14:textId="77777777" w:rsidR="003D389F" w:rsidRDefault="003D389F" w:rsidP="007E4441"/>
  </w:endnote>
  <w:endnote w:type="continuationSeparator" w:id="0">
    <w:p w14:paraId="179FB953" w14:textId="77777777" w:rsidR="003D389F" w:rsidRDefault="003D389F" w:rsidP="007E4441">
      <w:r>
        <w:continuationSeparator/>
      </w:r>
    </w:p>
    <w:p w14:paraId="65956524" w14:textId="77777777" w:rsidR="003D389F" w:rsidRDefault="003D389F" w:rsidP="007E4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662757"/>
      <w:docPartObj>
        <w:docPartGallery w:val="Page Numbers (Bottom of Page)"/>
        <w:docPartUnique/>
      </w:docPartObj>
    </w:sdtPr>
    <w:sdtEndPr/>
    <w:sdtContent>
      <w:sdt>
        <w:sdtPr>
          <w:id w:val="-1769616900"/>
          <w:docPartObj>
            <w:docPartGallery w:val="Page Numbers (Top of Page)"/>
            <w:docPartUnique/>
          </w:docPartObj>
        </w:sdtPr>
        <w:sdtEndPr/>
        <w:sdtContent>
          <w:p w14:paraId="5E74E0F1" w14:textId="63889081" w:rsidR="00D5799D" w:rsidRDefault="00236A10" w:rsidP="007E4441">
            <w:pPr>
              <w:pStyle w:val="Footer"/>
            </w:pPr>
            <w:r w:rsidRPr="00236A10">
              <w:t>Full 11 a(ii)</w:t>
            </w:r>
            <w:r w:rsidR="00D5799D">
              <w:tab/>
            </w:r>
            <w:r w:rsidR="00D5799D">
              <w:tab/>
              <w:t xml:space="preserve">Page </w:t>
            </w:r>
            <w:r w:rsidR="00D5799D">
              <w:fldChar w:fldCharType="begin"/>
            </w:r>
            <w:r w:rsidR="00D5799D">
              <w:instrText xml:space="preserve"> PAGE </w:instrText>
            </w:r>
            <w:r w:rsidR="00D5799D">
              <w:fldChar w:fldCharType="separate"/>
            </w:r>
            <w:r w:rsidR="00D738B5">
              <w:rPr>
                <w:noProof/>
              </w:rPr>
              <w:t>3</w:t>
            </w:r>
            <w:r w:rsidR="00D5799D">
              <w:fldChar w:fldCharType="end"/>
            </w:r>
            <w:r w:rsidR="00D5799D">
              <w:t xml:space="preserve"> of </w:t>
            </w:r>
            <w:r w:rsidR="004004F6">
              <w:fldChar w:fldCharType="begin"/>
            </w:r>
            <w:r w:rsidR="004004F6">
              <w:instrText xml:space="preserve"> NUMPAGES  </w:instrText>
            </w:r>
            <w:r w:rsidR="004004F6">
              <w:fldChar w:fldCharType="separate"/>
            </w:r>
            <w:r w:rsidR="00D738B5">
              <w:rPr>
                <w:noProof/>
              </w:rPr>
              <w:t>3</w:t>
            </w:r>
            <w:r w:rsidR="004004F6">
              <w:rPr>
                <w:noProof/>
              </w:rPr>
              <w:fldChar w:fldCharType="end"/>
            </w:r>
          </w:p>
        </w:sdtContent>
      </w:sdt>
    </w:sdtContent>
  </w:sdt>
  <w:p w14:paraId="44E677FC" w14:textId="77777777" w:rsidR="00D5799D" w:rsidRDefault="00D5799D" w:rsidP="007E4441">
    <w:pPr>
      <w:pStyle w:val="Footer"/>
    </w:pPr>
  </w:p>
  <w:p w14:paraId="1F0DCA09" w14:textId="77777777" w:rsidR="00D5799D" w:rsidRDefault="00D5799D" w:rsidP="007E44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9E71D" w14:textId="77777777" w:rsidR="003D389F" w:rsidRDefault="003D389F" w:rsidP="007E4441">
      <w:r>
        <w:separator/>
      </w:r>
    </w:p>
    <w:p w14:paraId="68042DDB" w14:textId="77777777" w:rsidR="003D389F" w:rsidRDefault="003D389F" w:rsidP="007E4441"/>
  </w:footnote>
  <w:footnote w:type="continuationSeparator" w:id="0">
    <w:p w14:paraId="19E27D33" w14:textId="77777777" w:rsidR="003D389F" w:rsidRDefault="003D389F" w:rsidP="007E4441">
      <w:r>
        <w:continuationSeparator/>
      </w:r>
    </w:p>
    <w:p w14:paraId="20E9BB16" w14:textId="77777777" w:rsidR="003D389F" w:rsidRDefault="003D389F" w:rsidP="007E4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6E88" w14:textId="786C0B2C" w:rsidR="00D5799D" w:rsidRDefault="00D5799D" w:rsidP="007E4441">
    <w:pPr>
      <w:pStyle w:val="Header"/>
    </w:pPr>
  </w:p>
  <w:p w14:paraId="147605D4" w14:textId="77777777" w:rsidR="00D5799D" w:rsidRDefault="00D5799D" w:rsidP="007E44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301"/>
    <w:multiLevelType w:val="hybridMultilevel"/>
    <w:tmpl w:val="A0C4E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014A5"/>
    <w:multiLevelType w:val="hybridMultilevel"/>
    <w:tmpl w:val="BAD87544"/>
    <w:lvl w:ilvl="0" w:tplc="468837D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13B0B"/>
    <w:multiLevelType w:val="hybridMultilevel"/>
    <w:tmpl w:val="C4F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94DF8"/>
    <w:multiLevelType w:val="hybridMultilevel"/>
    <w:tmpl w:val="BE22B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75775F"/>
    <w:multiLevelType w:val="hybridMultilevel"/>
    <w:tmpl w:val="F0A81C66"/>
    <w:lvl w:ilvl="0" w:tplc="CAC8D6DE">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5E51D6"/>
    <w:multiLevelType w:val="singleLevel"/>
    <w:tmpl w:val="04090017"/>
    <w:lvl w:ilvl="0">
      <w:start w:val="1"/>
      <w:numFmt w:val="lowerLetter"/>
      <w:lvlText w:val="%1)"/>
      <w:lvlJc w:val="left"/>
      <w:pPr>
        <w:tabs>
          <w:tab w:val="num" w:pos="360"/>
        </w:tabs>
        <w:ind w:left="360" w:hanging="360"/>
      </w:pPr>
    </w:lvl>
  </w:abstractNum>
  <w:num w:numId="1" w16cid:durableId="1524435095">
    <w:abstractNumId w:val="3"/>
  </w:num>
  <w:num w:numId="2" w16cid:durableId="1439249996">
    <w:abstractNumId w:val="5"/>
  </w:num>
  <w:num w:numId="3" w16cid:durableId="832376678">
    <w:abstractNumId w:val="2"/>
  </w:num>
  <w:num w:numId="4" w16cid:durableId="958294174">
    <w:abstractNumId w:val="1"/>
  </w:num>
  <w:num w:numId="5" w16cid:durableId="486359513">
    <w:abstractNumId w:val="4"/>
  </w:num>
  <w:num w:numId="6" w16cid:durableId="10947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856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401266">
    <w:abstractNumId w:val="2"/>
  </w:num>
  <w:num w:numId="9" w16cid:durableId="1524898266">
    <w:abstractNumId w:val="5"/>
    <w:lvlOverride w:ilvl="0">
      <w:startOverride w:val="1"/>
    </w:lvlOverride>
  </w:num>
  <w:num w:numId="10" w16cid:durableId="19774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SJ8aDIYxpgGkQI4OT1VqG5kg4/eFMOoD9XBfoXb38OKeKNbErmrum7kzu2NYbSMRttqcn17dr4RYVzTKMUl8w==" w:salt="RAnVzxAj+xPxZaSDTNrb4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90"/>
    <w:rsid w:val="00002567"/>
    <w:rsid w:val="00002581"/>
    <w:rsid w:val="00031EB6"/>
    <w:rsid w:val="000367FE"/>
    <w:rsid w:val="00045A35"/>
    <w:rsid w:val="000545D3"/>
    <w:rsid w:val="000640B4"/>
    <w:rsid w:val="00073C34"/>
    <w:rsid w:val="00080DEF"/>
    <w:rsid w:val="000A0D2F"/>
    <w:rsid w:val="000A4F94"/>
    <w:rsid w:val="000E53F4"/>
    <w:rsid w:val="000E6742"/>
    <w:rsid w:val="001224B7"/>
    <w:rsid w:val="001248BB"/>
    <w:rsid w:val="00131248"/>
    <w:rsid w:val="00136023"/>
    <w:rsid w:val="0015359A"/>
    <w:rsid w:val="00155466"/>
    <w:rsid w:val="001555C6"/>
    <w:rsid w:val="001776E9"/>
    <w:rsid w:val="00185D1D"/>
    <w:rsid w:val="00196CBA"/>
    <w:rsid w:val="001B1125"/>
    <w:rsid w:val="001C1947"/>
    <w:rsid w:val="001C54D5"/>
    <w:rsid w:val="001D416C"/>
    <w:rsid w:val="001D6C74"/>
    <w:rsid w:val="001E3A2A"/>
    <w:rsid w:val="001F1B86"/>
    <w:rsid w:val="0020080A"/>
    <w:rsid w:val="00206644"/>
    <w:rsid w:val="00211C1F"/>
    <w:rsid w:val="00226947"/>
    <w:rsid w:val="00226EF5"/>
    <w:rsid w:val="002300D7"/>
    <w:rsid w:val="00230E87"/>
    <w:rsid w:val="00234867"/>
    <w:rsid w:val="00236A10"/>
    <w:rsid w:val="002409CB"/>
    <w:rsid w:val="00240AA1"/>
    <w:rsid w:val="00242A85"/>
    <w:rsid w:val="00246107"/>
    <w:rsid w:val="00254247"/>
    <w:rsid w:val="002861D2"/>
    <w:rsid w:val="0028777F"/>
    <w:rsid w:val="00296D33"/>
    <w:rsid w:val="002B4D4F"/>
    <w:rsid w:val="002B56C3"/>
    <w:rsid w:val="002C16A6"/>
    <w:rsid w:val="002D17BB"/>
    <w:rsid w:val="002D4C1D"/>
    <w:rsid w:val="002F106A"/>
    <w:rsid w:val="002F16F4"/>
    <w:rsid w:val="003055B9"/>
    <w:rsid w:val="003071BB"/>
    <w:rsid w:val="00312BC9"/>
    <w:rsid w:val="00324907"/>
    <w:rsid w:val="003333FF"/>
    <w:rsid w:val="00342FE0"/>
    <w:rsid w:val="00356EA1"/>
    <w:rsid w:val="003631E5"/>
    <w:rsid w:val="0037132D"/>
    <w:rsid w:val="003762F9"/>
    <w:rsid w:val="00377359"/>
    <w:rsid w:val="0038149F"/>
    <w:rsid w:val="00392237"/>
    <w:rsid w:val="00395185"/>
    <w:rsid w:val="00397007"/>
    <w:rsid w:val="003A65B6"/>
    <w:rsid w:val="003B4AAE"/>
    <w:rsid w:val="003B538B"/>
    <w:rsid w:val="003B7326"/>
    <w:rsid w:val="003C178E"/>
    <w:rsid w:val="003C1F20"/>
    <w:rsid w:val="003D389F"/>
    <w:rsid w:val="003E186E"/>
    <w:rsid w:val="003F078B"/>
    <w:rsid w:val="003F3FEB"/>
    <w:rsid w:val="004001BF"/>
    <w:rsid w:val="004004F6"/>
    <w:rsid w:val="0041762D"/>
    <w:rsid w:val="00424133"/>
    <w:rsid w:val="00425E31"/>
    <w:rsid w:val="00435202"/>
    <w:rsid w:val="00441846"/>
    <w:rsid w:val="00443FFD"/>
    <w:rsid w:val="00446744"/>
    <w:rsid w:val="00446785"/>
    <w:rsid w:val="004617EE"/>
    <w:rsid w:val="004707D9"/>
    <w:rsid w:val="004740CA"/>
    <w:rsid w:val="00483AE0"/>
    <w:rsid w:val="00485737"/>
    <w:rsid w:val="0048627B"/>
    <w:rsid w:val="00486FB0"/>
    <w:rsid w:val="004A7B69"/>
    <w:rsid w:val="004B0EEF"/>
    <w:rsid w:val="004B1D62"/>
    <w:rsid w:val="004B7F14"/>
    <w:rsid w:val="004C3B72"/>
    <w:rsid w:val="004D67AF"/>
    <w:rsid w:val="004F29E0"/>
    <w:rsid w:val="00511D8E"/>
    <w:rsid w:val="005145B6"/>
    <w:rsid w:val="00523673"/>
    <w:rsid w:val="0052656D"/>
    <w:rsid w:val="00531934"/>
    <w:rsid w:val="00534BEA"/>
    <w:rsid w:val="00541203"/>
    <w:rsid w:val="0054183D"/>
    <w:rsid w:val="005435BE"/>
    <w:rsid w:val="0054398C"/>
    <w:rsid w:val="00561872"/>
    <w:rsid w:val="0056563E"/>
    <w:rsid w:val="005674B3"/>
    <w:rsid w:val="00571A01"/>
    <w:rsid w:val="005A0A61"/>
    <w:rsid w:val="005C7956"/>
    <w:rsid w:val="005E108F"/>
    <w:rsid w:val="005E74F8"/>
    <w:rsid w:val="00603941"/>
    <w:rsid w:val="00610D33"/>
    <w:rsid w:val="00614449"/>
    <w:rsid w:val="006175FC"/>
    <w:rsid w:val="00627225"/>
    <w:rsid w:val="00627897"/>
    <w:rsid w:val="00651FCC"/>
    <w:rsid w:val="00652286"/>
    <w:rsid w:val="00675F2B"/>
    <w:rsid w:val="0068326F"/>
    <w:rsid w:val="00695D7E"/>
    <w:rsid w:val="006B4A69"/>
    <w:rsid w:val="006D03D7"/>
    <w:rsid w:val="006D379C"/>
    <w:rsid w:val="006D4083"/>
    <w:rsid w:val="006E4C75"/>
    <w:rsid w:val="006E6F07"/>
    <w:rsid w:val="006F0D5D"/>
    <w:rsid w:val="006F150F"/>
    <w:rsid w:val="006F3005"/>
    <w:rsid w:val="006F7EB8"/>
    <w:rsid w:val="00722171"/>
    <w:rsid w:val="00724FBB"/>
    <w:rsid w:val="0074308D"/>
    <w:rsid w:val="00751E20"/>
    <w:rsid w:val="00756612"/>
    <w:rsid w:val="007606F8"/>
    <w:rsid w:val="00760E8B"/>
    <w:rsid w:val="00770278"/>
    <w:rsid w:val="00783A29"/>
    <w:rsid w:val="00786017"/>
    <w:rsid w:val="0078623E"/>
    <w:rsid w:val="00786A37"/>
    <w:rsid w:val="007A15F0"/>
    <w:rsid w:val="007A6389"/>
    <w:rsid w:val="007A641A"/>
    <w:rsid w:val="007B5A40"/>
    <w:rsid w:val="007E4441"/>
    <w:rsid w:val="007E699C"/>
    <w:rsid w:val="007E76F2"/>
    <w:rsid w:val="007F2180"/>
    <w:rsid w:val="0081307C"/>
    <w:rsid w:val="008310F6"/>
    <w:rsid w:val="008327B1"/>
    <w:rsid w:val="00834507"/>
    <w:rsid w:val="0084685C"/>
    <w:rsid w:val="00847E34"/>
    <w:rsid w:val="0085214A"/>
    <w:rsid w:val="00857326"/>
    <w:rsid w:val="008653A6"/>
    <w:rsid w:val="0087684B"/>
    <w:rsid w:val="00885615"/>
    <w:rsid w:val="008A450E"/>
    <w:rsid w:val="008A7779"/>
    <w:rsid w:val="008B12E5"/>
    <w:rsid w:val="008B2EDF"/>
    <w:rsid w:val="008B5EFF"/>
    <w:rsid w:val="008C6385"/>
    <w:rsid w:val="008F487E"/>
    <w:rsid w:val="0090371C"/>
    <w:rsid w:val="00906FFB"/>
    <w:rsid w:val="0090742C"/>
    <w:rsid w:val="0091306F"/>
    <w:rsid w:val="00925B0F"/>
    <w:rsid w:val="00931E0F"/>
    <w:rsid w:val="00944195"/>
    <w:rsid w:val="00967456"/>
    <w:rsid w:val="00975DD1"/>
    <w:rsid w:val="00977048"/>
    <w:rsid w:val="00992B24"/>
    <w:rsid w:val="009A6C8D"/>
    <w:rsid w:val="009B5797"/>
    <w:rsid w:val="009B608F"/>
    <w:rsid w:val="009C01B9"/>
    <w:rsid w:val="009D0B23"/>
    <w:rsid w:val="009D16B9"/>
    <w:rsid w:val="009D2EB9"/>
    <w:rsid w:val="009D36B6"/>
    <w:rsid w:val="009F225D"/>
    <w:rsid w:val="009F74A6"/>
    <w:rsid w:val="00A0719C"/>
    <w:rsid w:val="00A1055F"/>
    <w:rsid w:val="00A12D52"/>
    <w:rsid w:val="00A2457E"/>
    <w:rsid w:val="00A4556D"/>
    <w:rsid w:val="00A5270B"/>
    <w:rsid w:val="00A5750A"/>
    <w:rsid w:val="00A63CA8"/>
    <w:rsid w:val="00A70B7A"/>
    <w:rsid w:val="00A773F1"/>
    <w:rsid w:val="00AA06F1"/>
    <w:rsid w:val="00AA7156"/>
    <w:rsid w:val="00AB528D"/>
    <w:rsid w:val="00AC72D3"/>
    <w:rsid w:val="00AF667F"/>
    <w:rsid w:val="00B133AB"/>
    <w:rsid w:val="00B167A1"/>
    <w:rsid w:val="00B60AEA"/>
    <w:rsid w:val="00B643DF"/>
    <w:rsid w:val="00B765CF"/>
    <w:rsid w:val="00B817AF"/>
    <w:rsid w:val="00B82A7D"/>
    <w:rsid w:val="00B93EE7"/>
    <w:rsid w:val="00B9591F"/>
    <w:rsid w:val="00BB4417"/>
    <w:rsid w:val="00BB6444"/>
    <w:rsid w:val="00BC1FBC"/>
    <w:rsid w:val="00BC2329"/>
    <w:rsid w:val="00BC5D97"/>
    <w:rsid w:val="00BC6173"/>
    <w:rsid w:val="00BF2B0B"/>
    <w:rsid w:val="00BF4151"/>
    <w:rsid w:val="00C05D25"/>
    <w:rsid w:val="00C1167C"/>
    <w:rsid w:val="00C14039"/>
    <w:rsid w:val="00C160AE"/>
    <w:rsid w:val="00C24E92"/>
    <w:rsid w:val="00C27273"/>
    <w:rsid w:val="00C32B61"/>
    <w:rsid w:val="00C44CF1"/>
    <w:rsid w:val="00C45A61"/>
    <w:rsid w:val="00C544C2"/>
    <w:rsid w:val="00C61B4F"/>
    <w:rsid w:val="00C67989"/>
    <w:rsid w:val="00C67A51"/>
    <w:rsid w:val="00C71EEE"/>
    <w:rsid w:val="00C81EFB"/>
    <w:rsid w:val="00C823A8"/>
    <w:rsid w:val="00C85FC2"/>
    <w:rsid w:val="00C90BBB"/>
    <w:rsid w:val="00C9190B"/>
    <w:rsid w:val="00C95004"/>
    <w:rsid w:val="00C97858"/>
    <w:rsid w:val="00CA140C"/>
    <w:rsid w:val="00CA1E8D"/>
    <w:rsid w:val="00CA3C16"/>
    <w:rsid w:val="00CA65FC"/>
    <w:rsid w:val="00CB73AD"/>
    <w:rsid w:val="00CC37CC"/>
    <w:rsid w:val="00CE416F"/>
    <w:rsid w:val="00D25FC3"/>
    <w:rsid w:val="00D31B74"/>
    <w:rsid w:val="00D449FA"/>
    <w:rsid w:val="00D5799D"/>
    <w:rsid w:val="00D67F90"/>
    <w:rsid w:val="00D7078A"/>
    <w:rsid w:val="00D737A0"/>
    <w:rsid w:val="00D738B5"/>
    <w:rsid w:val="00D8507F"/>
    <w:rsid w:val="00D92F94"/>
    <w:rsid w:val="00D9412A"/>
    <w:rsid w:val="00D951EE"/>
    <w:rsid w:val="00DB2284"/>
    <w:rsid w:val="00DC5607"/>
    <w:rsid w:val="00DC5D1C"/>
    <w:rsid w:val="00DD6490"/>
    <w:rsid w:val="00DD6945"/>
    <w:rsid w:val="00DE030E"/>
    <w:rsid w:val="00DE2493"/>
    <w:rsid w:val="00DE500E"/>
    <w:rsid w:val="00DE6F42"/>
    <w:rsid w:val="00DF7064"/>
    <w:rsid w:val="00E11C43"/>
    <w:rsid w:val="00E15383"/>
    <w:rsid w:val="00E21D0C"/>
    <w:rsid w:val="00E225EC"/>
    <w:rsid w:val="00E60D2C"/>
    <w:rsid w:val="00E70DA0"/>
    <w:rsid w:val="00E73367"/>
    <w:rsid w:val="00E80938"/>
    <w:rsid w:val="00EA6B47"/>
    <w:rsid w:val="00EB4CBA"/>
    <w:rsid w:val="00EB79E5"/>
    <w:rsid w:val="00EC0933"/>
    <w:rsid w:val="00ED2838"/>
    <w:rsid w:val="00ED7A84"/>
    <w:rsid w:val="00EE24C8"/>
    <w:rsid w:val="00F02C74"/>
    <w:rsid w:val="00F175C3"/>
    <w:rsid w:val="00F41A1A"/>
    <w:rsid w:val="00F43AE8"/>
    <w:rsid w:val="00F52016"/>
    <w:rsid w:val="00F57E88"/>
    <w:rsid w:val="00F757C1"/>
    <w:rsid w:val="00FA0B7F"/>
    <w:rsid w:val="00FA5894"/>
    <w:rsid w:val="00FC254F"/>
    <w:rsid w:val="00FD3249"/>
    <w:rsid w:val="00FD7449"/>
    <w:rsid w:val="00FE4FAD"/>
    <w:rsid w:val="00FE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FD09"/>
  <w15:docId w15:val="{CF7500D5-78E3-446E-9B15-60BF3E09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4441"/>
    <w:rPr>
      <w:rFonts w:ascii="Arial" w:hAnsi="Arial" w:cs="Arial"/>
      <w:sz w:val="24"/>
      <w:szCs w:val="24"/>
    </w:rPr>
  </w:style>
  <w:style w:type="paragraph" w:styleId="Heading1">
    <w:name w:val="heading 1"/>
    <w:basedOn w:val="Normal"/>
    <w:uiPriority w:val="1"/>
    <w:qFormat/>
    <w:rsid w:val="00226947"/>
    <w:pPr>
      <w:outlineLvl w:val="0"/>
    </w:pPr>
    <w:rPr>
      <w:b/>
    </w:rPr>
  </w:style>
  <w:style w:type="paragraph" w:styleId="Heading2">
    <w:name w:val="heading 2"/>
    <w:basedOn w:val="Normal"/>
    <w:next w:val="Normal"/>
    <w:link w:val="Heading2Char"/>
    <w:uiPriority w:val="9"/>
    <w:unhideWhenUsed/>
    <w:qFormat/>
    <w:rsid w:val="00226947"/>
    <w:pPr>
      <w:outlineLvl w:val="1"/>
    </w:pPr>
    <w:rPr>
      <w:b/>
    </w:rPr>
  </w:style>
  <w:style w:type="paragraph" w:styleId="Heading3">
    <w:name w:val="heading 3"/>
    <w:basedOn w:val="Normal"/>
    <w:next w:val="Normal"/>
    <w:link w:val="Heading3Char"/>
    <w:uiPriority w:val="9"/>
    <w:unhideWhenUsed/>
    <w:qFormat/>
    <w:rsid w:val="007E4441"/>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eastAsia="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2">
    <w:name w:val="Body Text 2"/>
    <w:basedOn w:val="Normal"/>
    <w:link w:val="BodyText2Char"/>
    <w:uiPriority w:val="99"/>
    <w:semiHidden/>
    <w:unhideWhenUsed/>
    <w:rsid w:val="0048627B"/>
    <w:pPr>
      <w:spacing w:after="120" w:line="480" w:lineRule="auto"/>
    </w:pPr>
  </w:style>
  <w:style w:type="character" w:customStyle="1" w:styleId="BodyText2Char">
    <w:name w:val="Body Text 2 Char"/>
    <w:basedOn w:val="DefaultParagraphFont"/>
    <w:link w:val="BodyText2"/>
    <w:uiPriority w:val="99"/>
    <w:semiHidden/>
    <w:rsid w:val="0048627B"/>
  </w:style>
  <w:style w:type="paragraph" w:styleId="CommentText">
    <w:name w:val="annotation text"/>
    <w:basedOn w:val="Normal"/>
    <w:link w:val="CommentTextChar"/>
    <w:unhideWhenUsed/>
    <w:rsid w:val="00356EA1"/>
    <w:pPr>
      <w:widowControl/>
      <w:spacing w:after="200"/>
    </w:pPr>
    <w:rPr>
      <w:sz w:val="20"/>
      <w:szCs w:val="20"/>
    </w:rPr>
  </w:style>
  <w:style w:type="character" w:customStyle="1" w:styleId="CommentTextChar">
    <w:name w:val="Comment Text Char"/>
    <w:basedOn w:val="DefaultParagraphFont"/>
    <w:link w:val="CommentText"/>
    <w:rsid w:val="00356EA1"/>
    <w:rPr>
      <w:rFonts w:ascii="Arial" w:hAnsi="Arial" w:cs="Arial"/>
      <w:sz w:val="20"/>
      <w:szCs w:val="20"/>
    </w:rPr>
  </w:style>
  <w:style w:type="paragraph" w:styleId="BalloonText">
    <w:name w:val="Balloon Text"/>
    <w:basedOn w:val="Normal"/>
    <w:link w:val="BalloonTextChar"/>
    <w:uiPriority w:val="99"/>
    <w:semiHidden/>
    <w:unhideWhenUsed/>
    <w:rsid w:val="001555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5C6"/>
    <w:rPr>
      <w:rFonts w:ascii="Segoe UI" w:hAnsi="Segoe UI" w:cs="Segoe UI"/>
      <w:sz w:val="18"/>
      <w:szCs w:val="18"/>
    </w:rPr>
  </w:style>
  <w:style w:type="paragraph" w:styleId="Header">
    <w:name w:val="header"/>
    <w:basedOn w:val="Normal"/>
    <w:link w:val="HeaderChar"/>
    <w:uiPriority w:val="99"/>
    <w:unhideWhenUsed/>
    <w:rsid w:val="005A0A61"/>
    <w:pPr>
      <w:tabs>
        <w:tab w:val="center" w:pos="4680"/>
        <w:tab w:val="right" w:pos="9360"/>
      </w:tabs>
    </w:pPr>
  </w:style>
  <w:style w:type="character" w:customStyle="1" w:styleId="HeaderChar">
    <w:name w:val="Header Char"/>
    <w:basedOn w:val="DefaultParagraphFont"/>
    <w:link w:val="Header"/>
    <w:uiPriority w:val="99"/>
    <w:rsid w:val="005A0A61"/>
  </w:style>
  <w:style w:type="paragraph" w:styleId="Footer">
    <w:name w:val="footer"/>
    <w:basedOn w:val="Normal"/>
    <w:link w:val="FooterChar"/>
    <w:uiPriority w:val="99"/>
    <w:unhideWhenUsed/>
    <w:rsid w:val="005A0A61"/>
    <w:pPr>
      <w:tabs>
        <w:tab w:val="center" w:pos="4680"/>
        <w:tab w:val="right" w:pos="9360"/>
      </w:tabs>
    </w:pPr>
  </w:style>
  <w:style w:type="character" w:customStyle="1" w:styleId="FooterChar">
    <w:name w:val="Footer Char"/>
    <w:basedOn w:val="DefaultParagraphFont"/>
    <w:link w:val="Footer"/>
    <w:uiPriority w:val="99"/>
    <w:rsid w:val="005A0A61"/>
  </w:style>
  <w:style w:type="paragraph" w:styleId="Title">
    <w:name w:val="Title"/>
    <w:basedOn w:val="Subtitle"/>
    <w:link w:val="TitleChar"/>
    <w:qFormat/>
    <w:rsid w:val="00226947"/>
    <w:rPr>
      <w:u w:val="single"/>
    </w:rPr>
  </w:style>
  <w:style w:type="character" w:customStyle="1" w:styleId="TitleChar">
    <w:name w:val="Title Char"/>
    <w:basedOn w:val="DefaultParagraphFont"/>
    <w:link w:val="Title"/>
    <w:rsid w:val="00226947"/>
    <w:rPr>
      <w:rFonts w:ascii="Arial" w:eastAsia="Times New Roman" w:hAnsi="Arial" w:cs="Arial"/>
      <w:b/>
      <w:sz w:val="24"/>
      <w:szCs w:val="24"/>
      <w:u w:val="single"/>
    </w:rPr>
  </w:style>
  <w:style w:type="paragraph" w:styleId="Subtitle">
    <w:name w:val="Subtitle"/>
    <w:basedOn w:val="Normal"/>
    <w:link w:val="SubtitleChar"/>
    <w:qFormat/>
    <w:rsid w:val="00226947"/>
    <w:pPr>
      <w:autoSpaceDE w:val="0"/>
      <w:autoSpaceDN w:val="0"/>
      <w:adjustRightInd w:val="0"/>
      <w:jc w:val="center"/>
    </w:pPr>
    <w:rPr>
      <w:b/>
      <w:lang w:val="en"/>
    </w:rPr>
  </w:style>
  <w:style w:type="character" w:customStyle="1" w:styleId="SubtitleChar">
    <w:name w:val="Subtitle Char"/>
    <w:basedOn w:val="DefaultParagraphFont"/>
    <w:link w:val="Subtitle"/>
    <w:rsid w:val="00226947"/>
    <w:rPr>
      <w:rFonts w:ascii="Arial" w:hAnsi="Arial" w:cs="Arial"/>
      <w:b/>
      <w:sz w:val="24"/>
      <w:szCs w:val="24"/>
      <w:lang w:val="en"/>
    </w:rPr>
  </w:style>
  <w:style w:type="character" w:styleId="Hyperlink">
    <w:name w:val="Hyperlink"/>
    <w:rsid w:val="001224B7"/>
    <w:rPr>
      <w:color w:val="0000FF"/>
      <w:u w:val="single"/>
    </w:rPr>
  </w:style>
  <w:style w:type="character" w:styleId="CommentReference">
    <w:name w:val="annotation reference"/>
    <w:basedOn w:val="DefaultParagraphFont"/>
    <w:uiPriority w:val="99"/>
    <w:semiHidden/>
    <w:unhideWhenUsed/>
    <w:rsid w:val="00885615"/>
    <w:rPr>
      <w:sz w:val="16"/>
      <w:szCs w:val="16"/>
    </w:rPr>
  </w:style>
  <w:style w:type="paragraph" w:styleId="CommentSubject">
    <w:name w:val="annotation subject"/>
    <w:basedOn w:val="CommentText"/>
    <w:next w:val="CommentText"/>
    <w:link w:val="CommentSubjectChar"/>
    <w:uiPriority w:val="99"/>
    <w:semiHidden/>
    <w:unhideWhenUsed/>
    <w:rsid w:val="00885615"/>
    <w:pPr>
      <w:widowControl w:val="0"/>
      <w:spacing w:after="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885615"/>
    <w:rPr>
      <w:rFonts w:ascii="Arial" w:hAnsi="Arial" w:cs="Arial"/>
      <w:b/>
      <w:bCs/>
      <w:sz w:val="20"/>
      <w:szCs w:val="20"/>
    </w:rPr>
  </w:style>
  <w:style w:type="paragraph" w:customStyle="1" w:styleId="Default">
    <w:name w:val="Default"/>
    <w:rsid w:val="001B1125"/>
    <w:pPr>
      <w:widowControl/>
      <w:autoSpaceDE w:val="0"/>
      <w:autoSpaceDN w:val="0"/>
      <w:adjustRightInd w:val="0"/>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
    <w:rsid w:val="00226947"/>
    <w:rPr>
      <w:rFonts w:ascii="Arial" w:hAnsi="Arial" w:cs="Arial"/>
      <w:b/>
      <w:sz w:val="24"/>
      <w:szCs w:val="24"/>
    </w:rPr>
  </w:style>
  <w:style w:type="character" w:customStyle="1" w:styleId="Heading3Char">
    <w:name w:val="Heading 3 Char"/>
    <w:basedOn w:val="DefaultParagraphFont"/>
    <w:link w:val="Heading3"/>
    <w:uiPriority w:val="9"/>
    <w:rsid w:val="007E444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636979">
      <w:bodyDiv w:val="1"/>
      <w:marLeft w:val="0"/>
      <w:marRight w:val="0"/>
      <w:marTop w:val="0"/>
      <w:marBottom w:val="0"/>
      <w:divBdr>
        <w:top w:val="none" w:sz="0" w:space="0" w:color="auto"/>
        <w:left w:val="none" w:sz="0" w:space="0" w:color="auto"/>
        <w:bottom w:val="none" w:sz="0" w:space="0" w:color="auto"/>
        <w:right w:val="none" w:sz="0" w:space="0" w:color="auto"/>
      </w:divBdr>
    </w:div>
    <w:div w:id="2109042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14CEE1FDDDE4FBB24DA458E1B64F5" ma:contentTypeVersion="17" ma:contentTypeDescription="Create a new document." ma:contentTypeScope="" ma:versionID="412d73f2496c1514d040eda6beb718db">
  <xsd:schema xmlns:xsd="http://www.w3.org/2001/XMLSchema" xmlns:xs="http://www.w3.org/2001/XMLSchema" xmlns:p="http://schemas.microsoft.com/office/2006/metadata/properties" xmlns:ns1="http://schemas.microsoft.com/sharepoint/v3" xmlns:ns3="da533e89-f73f-48f2-9a36-01bd7d2755d6" xmlns:ns4="09f4ce45-3038-47ac-bf0f-f7358fc085f0" targetNamespace="http://schemas.microsoft.com/office/2006/metadata/properties" ma:root="true" ma:fieldsID="837253e92c855f56bf286248ad461884" ns1:_="" ns3:_="" ns4:_="">
    <xsd:import namespace="http://schemas.microsoft.com/sharepoint/v3"/>
    <xsd:import namespace="da533e89-f73f-48f2-9a36-01bd7d2755d6"/>
    <xsd:import namespace="09f4ce45-3038-47ac-bf0f-f7358fc085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33e89-f73f-48f2-9a36-01bd7d2755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4ce45-3038-47ac-bf0f-f7358fc085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9f4ce45-3038-47ac-bf0f-f7358fc085f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38AFC5-8616-442E-A7C3-FF01FE88B175}">
  <ds:schemaRefs>
    <ds:schemaRef ds:uri="http://schemas.microsoft.com/sharepoint/v3/contenttype/forms"/>
  </ds:schemaRefs>
</ds:datastoreItem>
</file>

<file path=customXml/itemProps2.xml><?xml version="1.0" encoding="utf-8"?>
<ds:datastoreItem xmlns:ds="http://schemas.openxmlformats.org/officeDocument/2006/customXml" ds:itemID="{714B79DB-ABCF-4525-B324-A42797E3B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33e89-f73f-48f2-9a36-01bd7d2755d6"/>
    <ds:schemaRef ds:uri="09f4ce45-3038-47ac-bf0f-f7358fc08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63DC2-8D1F-4A96-85DB-8CA437142AE0}">
  <ds:schemaRefs>
    <ds:schemaRef ds:uri="http://schemas.openxmlformats.org/officeDocument/2006/bibliography"/>
  </ds:schemaRefs>
</ds:datastoreItem>
</file>

<file path=customXml/itemProps4.xml><?xml version="1.0" encoding="utf-8"?>
<ds:datastoreItem xmlns:ds="http://schemas.openxmlformats.org/officeDocument/2006/customXml" ds:itemID="{184077E7-3245-4A0F-B51A-7070A59A1063}">
  <ds:schemaRefs>
    <ds:schemaRef ds:uri="da533e89-f73f-48f2-9a36-01bd7d2755d6"/>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09f4ce45-3038-47ac-bf0f-f7358fc085f0"/>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1010</Words>
  <Characters>5760</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Microsoft Word - Supplemental Statement of Reasons.docx</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Supplemental Statement of Reasons.docx</dc:title>
  <dc:subject/>
  <dc:creator>ehanniga</dc:creator>
  <cp:keywords/>
  <dc:description/>
  <cp:lastModifiedBy>Kemp, Mazonika@BOF</cp:lastModifiedBy>
  <cp:revision>3</cp:revision>
  <cp:lastPrinted>2024-06-12T14:57:00Z</cp:lastPrinted>
  <dcterms:created xsi:type="dcterms:W3CDTF">2024-08-19T19:38:00Z</dcterms:created>
  <dcterms:modified xsi:type="dcterms:W3CDTF">2024-08-20T14:07:00Z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2016-05-16T00:00:00Z</vt:filetime>
  </property>
  <property fmtid="{D5CDD505-2E9C-101B-9397-08002B2CF9AE}" pid="3" name="LastSaved">
    <vt:filetime>2017-07-12T00:00:00Z</vt:filetime>
  </property>
  <property fmtid="{D5CDD505-2E9C-101B-9397-08002B2CF9AE}" pid="4" name="ContentTypeId">
    <vt:lpwstr>0x010100C1A14CEE1FDDDE4FBB24DA458E1B64F5</vt:lpwstr>
  </property>
</Properties>
</file>