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78305" w14:textId="1173DE26" w:rsidR="00744865" w:rsidRDefault="00744865" w:rsidP="000333B1">
      <w:pPr>
        <w:spacing w:after="60"/>
        <w:rPr>
          <w:rFonts w:eastAsia="Arial"/>
        </w:rPr>
      </w:pPr>
      <w:bookmarkStart w:id="0" w:name="_Hlk88660607"/>
      <w:bookmarkEnd w:id="0"/>
      <w:r w:rsidRPr="00744865">
        <w:rPr>
          <w:noProof/>
        </w:rPr>
        <w:drawing>
          <wp:inline distT="0" distB="0" distL="0" distR="0" wp14:anchorId="7B900974" wp14:editId="33FA2A3E">
            <wp:extent cx="5486400" cy="2143125"/>
            <wp:effectExtent l="0" t="0" r="0" b="0"/>
            <wp:docPr id="6" name="Picture 6" descr="2021 Effectiveness Monitoring Committee Annual Report and Work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2143125"/>
                    </a:xfrm>
                    <a:prstGeom prst="rect">
                      <a:avLst/>
                    </a:prstGeom>
                    <a:noFill/>
                    <a:ln>
                      <a:noFill/>
                    </a:ln>
                  </pic:spPr>
                </pic:pic>
              </a:graphicData>
            </a:graphic>
          </wp:inline>
        </w:drawing>
      </w:r>
    </w:p>
    <w:p w14:paraId="7556F6C6" w14:textId="77777777" w:rsidR="00744865" w:rsidRPr="001C6F09" w:rsidRDefault="00744865" w:rsidP="000333B1">
      <w:pPr>
        <w:spacing w:after="60"/>
        <w:jc w:val="center"/>
        <w:rPr>
          <w:rFonts w:eastAsia="Arial"/>
        </w:rPr>
      </w:pPr>
      <w:r w:rsidRPr="001C6F09">
        <w:rPr>
          <w:rFonts w:eastAsia="Arial"/>
          <w:noProof/>
        </w:rPr>
        <w:drawing>
          <wp:inline distT="0" distB="0" distL="0" distR="0" wp14:anchorId="0EB81720" wp14:editId="475BE7AA">
            <wp:extent cx="2785745" cy="2785745"/>
            <wp:effectExtent l="0" t="0" r="0" b="0"/>
            <wp:docPr id="7" name="Picture 451" descr="Boad of forestry and fire protec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5745" cy="2785745"/>
                    </a:xfrm>
                    <a:prstGeom prst="rect">
                      <a:avLst/>
                    </a:prstGeom>
                    <a:noFill/>
                    <a:ln>
                      <a:noFill/>
                    </a:ln>
                  </pic:spPr>
                </pic:pic>
              </a:graphicData>
            </a:graphic>
          </wp:inline>
        </w:drawing>
      </w:r>
    </w:p>
    <w:p w14:paraId="244603D7" w14:textId="77777777" w:rsidR="00744865" w:rsidRDefault="00744865" w:rsidP="000333B1">
      <w:pPr>
        <w:spacing w:after="60"/>
        <w:rPr>
          <w:rFonts w:eastAsia="Arial"/>
        </w:rPr>
      </w:pPr>
      <w:bookmarkStart w:id="1" w:name="_GoBack"/>
      <w:bookmarkEnd w:id="1"/>
    </w:p>
    <w:p w14:paraId="2D0E16F7" w14:textId="77777777" w:rsidR="00744865" w:rsidRPr="00CD56DC" w:rsidRDefault="00744865" w:rsidP="000333B1">
      <w:pPr>
        <w:spacing w:after="60"/>
        <w:jc w:val="center"/>
        <w:rPr>
          <w:rFonts w:ascii="Arial" w:eastAsia="Arial" w:hAnsi="Arial" w:cs="Arial"/>
          <w:b/>
        </w:rPr>
      </w:pPr>
    </w:p>
    <w:p w14:paraId="1093BCA1" w14:textId="77777777" w:rsidR="00744865" w:rsidRDefault="00744865" w:rsidP="000333B1">
      <w:pPr>
        <w:spacing w:after="60"/>
        <w:jc w:val="center"/>
        <w:rPr>
          <w:rFonts w:ascii="Arial" w:hAnsi="Arial" w:cs="Arial"/>
          <w:b/>
          <w:sz w:val="36"/>
          <w:szCs w:val="36"/>
        </w:rPr>
      </w:pPr>
      <w:r w:rsidRPr="00D00353">
        <w:rPr>
          <w:rFonts w:ascii="Arial" w:hAnsi="Arial" w:cs="Arial"/>
          <w:b/>
          <w:sz w:val="36"/>
          <w:szCs w:val="36"/>
        </w:rPr>
        <w:t>STATE BOARD OF</w:t>
      </w:r>
      <w:r w:rsidRPr="00D00353">
        <w:rPr>
          <w:rFonts w:ascii="Arial" w:hAnsi="Arial" w:cs="Arial"/>
          <w:b/>
          <w:spacing w:val="1"/>
          <w:sz w:val="36"/>
          <w:szCs w:val="36"/>
        </w:rPr>
        <w:t xml:space="preserve"> </w:t>
      </w:r>
      <w:r w:rsidRPr="00D00353">
        <w:rPr>
          <w:rFonts w:ascii="Arial" w:hAnsi="Arial" w:cs="Arial"/>
          <w:b/>
          <w:sz w:val="36"/>
          <w:szCs w:val="36"/>
        </w:rPr>
        <w:t>FORESTRY AND FIRE</w:t>
      </w:r>
      <w:r w:rsidRPr="00D00353">
        <w:rPr>
          <w:rFonts w:ascii="Arial" w:hAnsi="Arial" w:cs="Arial"/>
          <w:b/>
          <w:spacing w:val="29"/>
          <w:sz w:val="36"/>
          <w:szCs w:val="36"/>
        </w:rPr>
        <w:t xml:space="preserve"> </w:t>
      </w:r>
      <w:r w:rsidRPr="00D00353">
        <w:rPr>
          <w:rFonts w:ascii="Arial" w:hAnsi="Arial" w:cs="Arial"/>
          <w:b/>
          <w:sz w:val="36"/>
          <w:szCs w:val="36"/>
        </w:rPr>
        <w:t>PROTECTION</w:t>
      </w:r>
    </w:p>
    <w:p w14:paraId="1D12396A" w14:textId="77777777" w:rsidR="00744865" w:rsidRPr="00D00353" w:rsidRDefault="00744865" w:rsidP="000333B1">
      <w:pPr>
        <w:spacing w:after="60"/>
      </w:pPr>
    </w:p>
    <w:p w14:paraId="5F3166EE" w14:textId="77777777" w:rsidR="00744865" w:rsidRPr="008B1B7E" w:rsidRDefault="00744865" w:rsidP="000333B1">
      <w:pPr>
        <w:spacing w:after="60"/>
        <w:jc w:val="center"/>
        <w:rPr>
          <w:rFonts w:ascii="Arial" w:hAnsi="Arial" w:cs="Arial"/>
          <w:sz w:val="32"/>
          <w:szCs w:val="32"/>
        </w:rPr>
      </w:pPr>
    </w:p>
    <w:p w14:paraId="0546A6FC" w14:textId="1063F171" w:rsidR="00744865" w:rsidRPr="008B1B7E" w:rsidRDefault="00723B0C" w:rsidP="000333B1">
      <w:pPr>
        <w:spacing w:after="60"/>
        <w:jc w:val="center"/>
        <w:rPr>
          <w:rFonts w:ascii="Arial" w:hAnsi="Arial" w:cs="Arial"/>
          <w:sz w:val="32"/>
          <w:szCs w:val="32"/>
        </w:rPr>
        <w:sectPr w:rsidR="00744865" w:rsidRPr="008B1B7E" w:rsidSect="001A48C8">
          <w:headerReference w:type="even" r:id="rId13"/>
          <w:headerReference w:type="default" r:id="rId14"/>
          <w:footerReference w:type="default" r:id="rId15"/>
          <w:headerReference w:type="first" r:id="rId16"/>
          <w:pgSz w:w="12240" w:h="15840"/>
          <w:pgMar w:top="1500" w:right="1680" w:bottom="280" w:left="1680" w:header="720" w:footer="720" w:gutter="0"/>
          <w:pgNumType w:fmt="lowerRoman" w:start="1"/>
          <w:cols w:space="720"/>
          <w:titlePg/>
          <w:docGrid w:linePitch="299"/>
        </w:sectPr>
      </w:pPr>
      <w:r w:rsidRPr="00723B0C">
        <w:rPr>
          <w:rFonts w:ascii="Arial" w:hAnsi="Arial" w:cs="Arial"/>
          <w:sz w:val="32"/>
          <w:szCs w:val="32"/>
        </w:rPr>
        <w:t>December 13</w:t>
      </w:r>
      <w:r w:rsidR="00744865" w:rsidRPr="00723B0C">
        <w:rPr>
          <w:rFonts w:ascii="Arial" w:hAnsi="Arial" w:cs="Arial"/>
          <w:sz w:val="32"/>
          <w:szCs w:val="32"/>
        </w:rPr>
        <w:t xml:space="preserve">, </w:t>
      </w:r>
      <w:r w:rsidRPr="00723B0C">
        <w:rPr>
          <w:rFonts w:ascii="Arial" w:hAnsi="Arial" w:cs="Arial"/>
          <w:sz w:val="32"/>
          <w:szCs w:val="32"/>
        </w:rPr>
        <w:t>2021</w:t>
      </w:r>
    </w:p>
    <w:p w14:paraId="4154BF3F" w14:textId="41BFAD48" w:rsidR="00EE3719" w:rsidRPr="0090013A" w:rsidRDefault="00467F7A" w:rsidP="00B8427D">
      <w:pPr>
        <w:pStyle w:val="Heading1"/>
      </w:pPr>
      <w:r w:rsidRPr="00BB681F">
        <w:lastRenderedPageBreak/>
        <w:t>EXECUTIVE SU</w:t>
      </w:r>
      <w:r w:rsidR="00EE3719" w:rsidRPr="0090013A">
        <w:t>MMARY</w:t>
      </w:r>
    </w:p>
    <w:p w14:paraId="6B39AAE0" w14:textId="7D2FA35E" w:rsidR="00EE3719" w:rsidRPr="0090013A" w:rsidRDefault="003D4934" w:rsidP="00B8427D">
      <w:r w:rsidRPr="00DC62CD">
        <w:t xml:space="preserve">The </w:t>
      </w:r>
      <w:r w:rsidR="008F609B" w:rsidRPr="00DC62CD">
        <w:t>Effectiveness Monitoring Committee (</w:t>
      </w:r>
      <w:r w:rsidRPr="00DC62CD">
        <w:t>EMC</w:t>
      </w:r>
      <w:r w:rsidR="008F609B" w:rsidRPr="008E7CAB">
        <w:t>)</w:t>
      </w:r>
      <w:r w:rsidRPr="008E7CAB">
        <w:t xml:space="preserve"> Annual Report </w:t>
      </w:r>
      <w:r w:rsidR="00B032A0" w:rsidRPr="00744865">
        <w:t xml:space="preserve">and Workplan </w:t>
      </w:r>
      <w:r w:rsidR="006C0114">
        <w:t xml:space="preserve">(Report) </w:t>
      </w:r>
      <w:r w:rsidR="00935BA2" w:rsidRPr="00744865">
        <w:t xml:space="preserve">is a living </w:t>
      </w:r>
      <w:r w:rsidRPr="00744865">
        <w:t>document</w:t>
      </w:r>
      <w:r w:rsidR="00935BA2" w:rsidRPr="00744865">
        <w:t xml:space="preserve"> which is updated and approved by the Board of Forestry and Fire Protection</w:t>
      </w:r>
      <w:r w:rsidR="00C22E51" w:rsidRPr="00744865">
        <w:t xml:space="preserve"> (Board)</w:t>
      </w:r>
      <w:r w:rsidR="00935BA2" w:rsidRPr="00744865">
        <w:t xml:space="preserve"> annually and is intended to catalogue the</w:t>
      </w:r>
      <w:r w:rsidRPr="00744865">
        <w:t xml:space="preserve"> yearly accomplishments and status of ongoing </w:t>
      </w:r>
      <w:r w:rsidR="00B032A0" w:rsidRPr="00744865">
        <w:t xml:space="preserve">EMC </w:t>
      </w:r>
      <w:r w:rsidR="008F609B" w:rsidRPr="00744865">
        <w:t>efforts</w:t>
      </w:r>
      <w:r w:rsidRPr="00744865">
        <w:t xml:space="preserve">. </w:t>
      </w:r>
      <w:r w:rsidR="00935BA2" w:rsidRPr="00744865">
        <w:t>The Report summarizes</w:t>
      </w:r>
      <w:r w:rsidRPr="00744865">
        <w:t xml:space="preserve"> EMC accomplishments</w:t>
      </w:r>
      <w:r w:rsidR="00B032A0" w:rsidRPr="00744865">
        <w:t>,</w:t>
      </w:r>
      <w:r w:rsidR="00ED39B2" w:rsidRPr="00744865">
        <w:t xml:space="preserve"> </w:t>
      </w:r>
      <w:r w:rsidRPr="00744865">
        <w:t xml:space="preserve">details </w:t>
      </w:r>
      <w:r w:rsidR="00935BA2" w:rsidRPr="00744865">
        <w:t>EMC</w:t>
      </w:r>
      <w:r w:rsidRPr="00744865">
        <w:t xml:space="preserve"> funding</w:t>
      </w:r>
      <w:r w:rsidR="00ED39B2" w:rsidRPr="00744865">
        <w:t xml:space="preserve"> actions</w:t>
      </w:r>
      <w:r w:rsidRPr="00744865">
        <w:t xml:space="preserve"> for the year</w:t>
      </w:r>
      <w:r w:rsidR="00B032A0" w:rsidRPr="00744865">
        <w:t xml:space="preserve">, and </w:t>
      </w:r>
      <w:r w:rsidRPr="00744865">
        <w:t xml:space="preserve">provides an update of current EMC membership and staffing. </w:t>
      </w:r>
      <w:r w:rsidR="00EE3719" w:rsidRPr="00744865">
        <w:t>For fiscal year</w:t>
      </w:r>
      <w:r w:rsidR="00DC62CD">
        <w:t xml:space="preserve"> (FY)</w:t>
      </w:r>
      <w:r w:rsidR="00EE3719" w:rsidRPr="00BB681F">
        <w:t xml:space="preserve"> </w:t>
      </w:r>
      <w:r w:rsidR="00D454BE" w:rsidRPr="00744865">
        <w:t>202</w:t>
      </w:r>
      <w:r w:rsidR="00C22E51" w:rsidRPr="00744865">
        <w:t>1</w:t>
      </w:r>
      <w:r w:rsidR="00EE3719" w:rsidRPr="00744865">
        <w:t>/</w:t>
      </w:r>
      <w:r w:rsidR="00D454BE" w:rsidRPr="00744865">
        <w:t>202</w:t>
      </w:r>
      <w:r w:rsidR="00C22E51" w:rsidRPr="00744865">
        <w:t>2</w:t>
      </w:r>
      <w:r w:rsidR="00EE3719" w:rsidRPr="00744865">
        <w:t xml:space="preserve">, the EMC selected </w:t>
      </w:r>
      <w:r w:rsidR="006C0114" w:rsidRPr="006C0114">
        <w:rPr>
          <w:highlight w:val="yellow"/>
        </w:rPr>
        <w:t>XX</w:t>
      </w:r>
      <w:r w:rsidR="00C22E51" w:rsidRPr="00BB681F">
        <w:t xml:space="preserve"> </w:t>
      </w:r>
      <w:r w:rsidR="00EE3719" w:rsidRPr="00BB681F">
        <w:t>proposed effectiveness monitoring projects to fund and support</w:t>
      </w:r>
      <w:r w:rsidR="00EE3719" w:rsidRPr="0090013A">
        <w:t xml:space="preserve">. </w:t>
      </w:r>
      <w:r w:rsidR="00357ECD" w:rsidRPr="008B1B7E">
        <w:t>Ongoing projects from prior years continue</w:t>
      </w:r>
      <w:r w:rsidR="00C22E51" w:rsidRPr="008B1B7E">
        <w:t>d</w:t>
      </w:r>
      <w:r w:rsidR="00357ECD" w:rsidRPr="008B1B7E">
        <w:t xml:space="preserve"> to be funded</w:t>
      </w:r>
      <w:r w:rsidR="00935BA2" w:rsidRPr="008B1B7E">
        <w:t>.</w:t>
      </w:r>
      <w:r w:rsidR="007B493D" w:rsidRPr="008B1B7E">
        <w:t xml:space="preserve"> </w:t>
      </w:r>
    </w:p>
    <w:p w14:paraId="783C4045" w14:textId="21F72E57" w:rsidR="0090013A" w:rsidRDefault="00E53F41" w:rsidP="00B8427D">
      <w:pPr>
        <w:pStyle w:val="Heading1"/>
      </w:pPr>
      <w:r w:rsidRPr="00467F7A">
        <w:t xml:space="preserve">EMC PROCESS </w:t>
      </w:r>
      <w:r w:rsidR="00DC62CD" w:rsidRPr="00B8427D">
        <w:t>SUMMARY</w:t>
      </w:r>
    </w:p>
    <w:p w14:paraId="27D374A0" w14:textId="340E9D1A" w:rsidR="001E21FF" w:rsidRPr="00723B0C" w:rsidRDefault="00BB681F" w:rsidP="00B8427D">
      <w:r w:rsidRPr="00723B0C">
        <w:t>The EMC was formed</w:t>
      </w:r>
      <w:r w:rsidRPr="00723B0C">
        <w:rPr>
          <w:rFonts w:cs="Arial"/>
        </w:rPr>
        <w:t xml:space="preserve"> to develop and implement an </w:t>
      </w:r>
      <w:r w:rsidRPr="00723B0C">
        <w:t>effectiveness monitoring program to address both watershed and wildlife concerns, and to provide an active feedback loop to policymakers,</w:t>
      </w:r>
      <w:r w:rsidRPr="00723B0C">
        <w:rPr>
          <w:rFonts w:cs="Arial"/>
          <w:bCs/>
          <w:iCs/>
        </w:rPr>
        <w:t xml:space="preserve"> </w:t>
      </w:r>
      <w:r w:rsidRPr="00723B0C">
        <w:t xml:space="preserve">managers, agencies, and the public to better assist in decision-making and adaptive management. </w:t>
      </w:r>
      <w:r w:rsidR="001E21FF" w:rsidRPr="00723B0C">
        <w:t>As an advisory body to the Board, the EMC helps implement an effectiveness monitoring program that provides an active feedback loop to policymakers, managers, agencies, and the public by soliciting robust scientific research that addresses the effectiveness of these laws at meeting resource objectives and ecological performance measures related to AB 1492.</w:t>
      </w:r>
      <w:r w:rsidR="00723B0C">
        <w:rPr>
          <w:rStyle w:val="FootnoteReference"/>
        </w:rPr>
        <w:footnoteReference w:id="1"/>
      </w:r>
    </w:p>
    <w:p w14:paraId="0DA996FE" w14:textId="0CCF6F22" w:rsidR="0090013A" w:rsidRPr="00723B0C" w:rsidRDefault="001E21FF" w:rsidP="00B8427D">
      <w:r w:rsidRPr="00723B0C">
        <w:t xml:space="preserve">Three </w:t>
      </w:r>
      <w:r w:rsidR="0090013A" w:rsidRPr="00723B0C">
        <w:t xml:space="preserve">formal </w:t>
      </w:r>
      <w:r w:rsidR="00BB681F" w:rsidRPr="00723B0C">
        <w:t>documents guide the activities and goals of the EMC</w:t>
      </w:r>
      <w:r w:rsidR="007E0992" w:rsidRPr="00723B0C">
        <w:t xml:space="preserve">: (1) </w:t>
      </w:r>
      <w:r w:rsidRPr="00723B0C">
        <w:t>the EMC Charter,</w:t>
      </w:r>
      <w:r w:rsidR="00F0431D">
        <w:rPr>
          <w:rStyle w:val="FootnoteReference"/>
        </w:rPr>
        <w:footnoteReference w:id="2"/>
      </w:r>
      <w:r w:rsidRPr="00723B0C">
        <w:t xml:space="preserve"> (2) </w:t>
      </w:r>
      <w:r w:rsidR="007E0992" w:rsidRPr="00723B0C">
        <w:t>t</w:t>
      </w:r>
      <w:r w:rsidR="00020014" w:rsidRPr="00723B0C">
        <w:t>he EMC Strategic Plan</w:t>
      </w:r>
      <w:r w:rsidRPr="00723B0C">
        <w:t>,</w:t>
      </w:r>
      <w:r w:rsidR="00F0431D">
        <w:rPr>
          <w:rStyle w:val="FootnoteReference"/>
        </w:rPr>
        <w:footnoteReference w:id="3"/>
      </w:r>
      <w:r w:rsidRPr="00723B0C">
        <w:t xml:space="preserve"> which</w:t>
      </w:r>
      <w:r w:rsidR="00020014" w:rsidRPr="00723B0C">
        <w:t xml:space="preserve"> will be updated approximately every three years</w:t>
      </w:r>
      <w:r w:rsidR="007E0992" w:rsidRPr="00723B0C">
        <w:t>,</w:t>
      </w:r>
      <w:r w:rsidR="00020014" w:rsidRPr="00723B0C">
        <w:t xml:space="preserve"> and </w:t>
      </w:r>
      <w:r w:rsidR="007E0992" w:rsidRPr="00723B0C">
        <w:t>(</w:t>
      </w:r>
      <w:r w:rsidRPr="00723B0C">
        <w:t>3</w:t>
      </w:r>
      <w:r w:rsidR="007E0992" w:rsidRPr="00723B0C">
        <w:t xml:space="preserve">) </w:t>
      </w:r>
      <w:r w:rsidR="00020014" w:rsidRPr="00723B0C">
        <w:t>the EMC Annual Report and Work Plan</w:t>
      </w:r>
      <w:r w:rsidR="00F0431D">
        <w:rPr>
          <w:rStyle w:val="FootnoteReference"/>
        </w:rPr>
        <w:footnoteReference w:id="4"/>
      </w:r>
      <w:r w:rsidR="00020014" w:rsidRPr="00723B0C">
        <w:t xml:space="preserve"> </w:t>
      </w:r>
      <w:r w:rsidR="0090013A" w:rsidRPr="00723B0C">
        <w:t>(i.e., this current report)</w:t>
      </w:r>
      <w:r w:rsidRPr="00723B0C">
        <w:t>, which</w:t>
      </w:r>
      <w:r w:rsidR="0090013A" w:rsidRPr="00723B0C">
        <w:t xml:space="preserve"> </w:t>
      </w:r>
      <w:r w:rsidR="00020014" w:rsidRPr="00723B0C">
        <w:t xml:space="preserve">will be updated every calendar year. </w:t>
      </w:r>
      <w:r w:rsidRPr="00723B0C">
        <w:t xml:space="preserve">The </w:t>
      </w:r>
      <w:r w:rsidR="00020014" w:rsidRPr="00723B0C">
        <w:t>longer</w:t>
      </w:r>
      <w:r w:rsidRPr="00723B0C">
        <w:t>,</w:t>
      </w:r>
      <w:r w:rsidR="00020014" w:rsidRPr="00723B0C">
        <w:t xml:space="preserve"> more static </w:t>
      </w:r>
      <w:r w:rsidRPr="00723B0C">
        <w:t xml:space="preserve">Strategic Plan </w:t>
      </w:r>
      <w:r w:rsidR="00020014" w:rsidRPr="00723B0C">
        <w:t xml:space="preserve">and </w:t>
      </w:r>
      <w:r w:rsidRPr="00723B0C">
        <w:t xml:space="preserve">the </w:t>
      </w:r>
      <w:r w:rsidR="00020014" w:rsidRPr="00723B0C">
        <w:t>shorter</w:t>
      </w:r>
      <w:r w:rsidRPr="00723B0C">
        <w:t>,</w:t>
      </w:r>
      <w:r w:rsidR="00020014" w:rsidRPr="00723B0C">
        <w:t xml:space="preserve"> more fluid </w:t>
      </w:r>
      <w:r w:rsidRPr="00723B0C">
        <w:t xml:space="preserve">Annual Report and Work Plan, is a linked process </w:t>
      </w:r>
      <w:r w:rsidR="00020014" w:rsidRPr="00723B0C">
        <w:t>developed in response to Board member suggestions.</w:t>
      </w:r>
      <w:r w:rsidR="0090013A" w:rsidRPr="00723B0C">
        <w:t xml:space="preserve"> </w:t>
      </w:r>
      <w:r w:rsidRPr="00723B0C">
        <w:t>The EMC reports on its activities in a variety of ways</w:t>
      </w:r>
      <w:r w:rsidR="00DC62CD" w:rsidRPr="00723B0C">
        <w:t xml:space="preserve">. The EMC Strategic Plan road map lays out how the Committee intends to achieve the EMC goals and objectives. </w:t>
      </w:r>
      <w:r w:rsidR="0090013A" w:rsidRPr="00723B0C">
        <w:t xml:space="preserve">This Annual Report and Workplan (Report) </w:t>
      </w:r>
      <w:r w:rsidR="0090013A" w:rsidRPr="00723B0C">
        <w:rPr>
          <w:rFonts w:cs="Calibri"/>
        </w:rPr>
        <w:t>tracks progress on individual projects</w:t>
      </w:r>
      <w:r w:rsidR="00DC62CD" w:rsidRPr="00723B0C">
        <w:rPr>
          <w:rFonts w:cs="Calibri"/>
        </w:rPr>
        <w:t xml:space="preserve">, </w:t>
      </w:r>
      <w:r w:rsidR="0090013A" w:rsidRPr="00723B0C">
        <w:rPr>
          <w:rFonts w:cs="Calibri"/>
        </w:rPr>
        <w:t xml:space="preserve">documents the Committee’s ranking and selection of proposed monitoring projects, </w:t>
      </w:r>
      <w:r w:rsidR="00DC62CD" w:rsidRPr="00723B0C">
        <w:rPr>
          <w:rFonts w:cs="Calibri"/>
        </w:rPr>
        <w:t xml:space="preserve">and details </w:t>
      </w:r>
      <w:r w:rsidR="0090013A" w:rsidRPr="00723B0C">
        <w:rPr>
          <w:rFonts w:cs="Calibri"/>
        </w:rPr>
        <w:t xml:space="preserve">other </w:t>
      </w:r>
      <w:r w:rsidR="00DC62CD" w:rsidRPr="00723B0C">
        <w:rPr>
          <w:rFonts w:cs="Calibri"/>
        </w:rPr>
        <w:t xml:space="preserve">annual </w:t>
      </w:r>
      <w:r w:rsidR="0090013A" w:rsidRPr="00723B0C">
        <w:rPr>
          <w:rFonts w:cs="Calibri"/>
        </w:rPr>
        <w:t xml:space="preserve">accomplishments and ongoing EMC efforts. </w:t>
      </w:r>
      <w:r w:rsidR="00DC62CD" w:rsidRPr="00723B0C">
        <w:t xml:space="preserve">The EMC conducts open meetings a minimum of four times per year (quarterly) to conduct EMC business, during which progress reports, final reports, or other presentations on EMC-funded projects or other related research may be provided. </w:t>
      </w:r>
      <w:r w:rsidR="0090013A" w:rsidRPr="00723B0C">
        <w:t xml:space="preserve">The EMC Co-Chair or Board staff also report on </w:t>
      </w:r>
      <w:r w:rsidR="00DC62CD" w:rsidRPr="00723B0C">
        <w:t xml:space="preserve">the EMC’s </w:t>
      </w:r>
      <w:r w:rsidR="0090013A" w:rsidRPr="00723B0C">
        <w:t xml:space="preserve">activities via verbal updates at Board meetings throughout the year. </w:t>
      </w:r>
    </w:p>
    <w:p w14:paraId="22059EF1" w14:textId="4D22A2F6" w:rsidR="00020014" w:rsidRPr="00723B0C" w:rsidRDefault="00020014" w:rsidP="00B8427D">
      <w:r w:rsidRPr="00723B0C">
        <w:t xml:space="preserve">EMC projects are solicited through an annual Request for Proposals (RFP) which is released following the start of the new </w:t>
      </w:r>
      <w:r w:rsidR="00DC62CD" w:rsidRPr="00723B0C">
        <w:t>FY</w:t>
      </w:r>
      <w:r w:rsidR="00723B0C">
        <w:t xml:space="preserve"> </w:t>
      </w:r>
      <w:r w:rsidR="0090013A" w:rsidRPr="00723B0C">
        <w:t xml:space="preserve">(see </w:t>
      </w:r>
      <w:r w:rsidR="001E21FF" w:rsidRPr="00723B0C">
        <w:fldChar w:fldCharType="begin"/>
      </w:r>
      <w:r w:rsidR="001E21FF" w:rsidRPr="00723B0C">
        <w:instrText xml:space="preserve"> REF _Ref88660824 \h  \* MERGEFORMAT </w:instrText>
      </w:r>
      <w:r w:rsidR="001E21FF" w:rsidRPr="00723B0C">
        <w:fldChar w:fldCharType="separate"/>
      </w:r>
      <w:r w:rsidR="001E21FF" w:rsidRPr="00723B0C">
        <w:t xml:space="preserve">Figure </w:t>
      </w:r>
      <w:r w:rsidR="001E21FF" w:rsidRPr="00723B0C">
        <w:rPr>
          <w:noProof/>
        </w:rPr>
        <w:t>1</w:t>
      </w:r>
      <w:r w:rsidR="001E21FF" w:rsidRPr="00723B0C">
        <w:fldChar w:fldCharType="end"/>
      </w:r>
      <w:r w:rsidR="006C0114">
        <w:t>). The RFP, ranking, and selection process are detailed in the Strategic Plan</w:t>
      </w:r>
      <w:r w:rsidRPr="00723B0C">
        <w:t xml:space="preserve">. </w:t>
      </w:r>
    </w:p>
    <w:p w14:paraId="3F5A8B7A" w14:textId="77777777" w:rsidR="001E21FF" w:rsidRDefault="001E21FF" w:rsidP="00F0431D">
      <w:pPr>
        <w:keepNext/>
        <w:spacing w:after="0"/>
      </w:pPr>
      <w:r>
        <w:rPr>
          <w:noProof/>
        </w:rPr>
        <w:lastRenderedPageBreak/>
        <w:drawing>
          <wp:inline distT="0" distB="0" distL="0" distR="0" wp14:anchorId="4D07FF49" wp14:editId="2B8EC178">
            <wp:extent cx="5943600" cy="5045293"/>
            <wp:effectExtent l="0" t="0" r="0" b="3175"/>
            <wp:docPr id="8" name="Picture 8" descr="Figure 1. EMC Project Submission Timeline (approxim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 6. Timeline.tiff"/>
                    <pic:cNvPicPr/>
                  </pic:nvPicPr>
                  <pic:blipFill rotWithShape="1">
                    <a:blip r:embed="rId17" cstate="print">
                      <a:extLst>
                        <a:ext uri="{28A0092B-C50C-407E-A947-70E740481C1C}">
                          <a14:useLocalDpi xmlns:a14="http://schemas.microsoft.com/office/drawing/2010/main" val="0"/>
                        </a:ext>
                      </a:extLst>
                    </a:blip>
                    <a:srcRect l="11539" t="9164" r="11057" b="40065"/>
                    <a:stretch/>
                  </pic:blipFill>
                  <pic:spPr bwMode="auto">
                    <a:xfrm>
                      <a:off x="0" y="0"/>
                      <a:ext cx="5943600" cy="5045293"/>
                    </a:xfrm>
                    <a:prstGeom prst="rect">
                      <a:avLst/>
                    </a:prstGeom>
                    <a:ln>
                      <a:noFill/>
                    </a:ln>
                    <a:extLst>
                      <a:ext uri="{53640926-AAD7-44D8-BBD7-CCE9431645EC}">
                        <a14:shadowObscured xmlns:a14="http://schemas.microsoft.com/office/drawing/2010/main"/>
                      </a:ext>
                    </a:extLst>
                  </pic:spPr>
                </pic:pic>
              </a:graphicData>
            </a:graphic>
          </wp:inline>
        </w:drawing>
      </w:r>
    </w:p>
    <w:p w14:paraId="0C9A3380" w14:textId="64CCDEC3" w:rsidR="00220ED4" w:rsidRPr="006C0114" w:rsidRDefault="001E21FF" w:rsidP="006C0114">
      <w:pPr>
        <w:pStyle w:val="Caption"/>
        <w:spacing w:before="0" w:after="60"/>
        <w:rPr>
          <w:b/>
          <w:bCs/>
        </w:rPr>
      </w:pPr>
      <w:bookmarkStart w:id="2" w:name="_Ref88660824"/>
      <w:r w:rsidRPr="0083034C">
        <w:rPr>
          <w:b/>
          <w:bCs/>
        </w:rPr>
        <w:t xml:space="preserve">Figure </w:t>
      </w:r>
      <w:r w:rsidRPr="0083034C">
        <w:rPr>
          <w:b/>
          <w:bCs/>
        </w:rPr>
        <w:fldChar w:fldCharType="begin"/>
      </w:r>
      <w:r w:rsidRPr="0083034C">
        <w:rPr>
          <w:b/>
          <w:bCs/>
        </w:rPr>
        <w:instrText xml:space="preserve"> SEQ Figure \* ARABIC </w:instrText>
      </w:r>
      <w:r w:rsidRPr="0083034C">
        <w:rPr>
          <w:b/>
          <w:bCs/>
        </w:rPr>
        <w:fldChar w:fldCharType="separate"/>
      </w:r>
      <w:r w:rsidRPr="0083034C">
        <w:rPr>
          <w:b/>
          <w:bCs/>
          <w:noProof/>
        </w:rPr>
        <w:t>1</w:t>
      </w:r>
      <w:r w:rsidRPr="0083034C">
        <w:rPr>
          <w:b/>
          <w:bCs/>
        </w:rPr>
        <w:fldChar w:fldCharType="end"/>
      </w:r>
      <w:bookmarkEnd w:id="2"/>
      <w:r w:rsidRPr="0083034C">
        <w:rPr>
          <w:b/>
          <w:bCs/>
        </w:rPr>
        <w:t xml:space="preserve">. </w:t>
      </w:r>
      <w:r w:rsidR="00B54239">
        <w:rPr>
          <w:b/>
          <w:bCs/>
        </w:rPr>
        <w:t xml:space="preserve">EMC </w:t>
      </w:r>
      <w:r w:rsidRPr="0083034C">
        <w:rPr>
          <w:b/>
          <w:bCs/>
        </w:rPr>
        <w:t>Project Submission Timeline (approximate)</w:t>
      </w:r>
    </w:p>
    <w:p w14:paraId="4EB04EEA" w14:textId="551F8732" w:rsidR="00ED39B2" w:rsidRDefault="00F450E5" w:rsidP="00B8427D">
      <w:pPr>
        <w:pStyle w:val="Heading1"/>
      </w:pPr>
      <w:r w:rsidRPr="00467F7A">
        <w:t>EMC FUNDING</w:t>
      </w:r>
    </w:p>
    <w:p w14:paraId="0D8E1A39" w14:textId="52FC13A7" w:rsidR="00186855" w:rsidRDefault="0048035E" w:rsidP="00B8427D">
      <w:r w:rsidRPr="001A48C8">
        <w:t xml:space="preserve">For </w:t>
      </w:r>
      <w:r w:rsidR="00DC62CD">
        <w:t>FY 2021</w:t>
      </w:r>
      <w:r w:rsidR="003334BD">
        <w:t>/</w:t>
      </w:r>
      <w:r w:rsidR="00DC62CD">
        <w:t>22</w:t>
      </w:r>
      <w:r w:rsidRPr="001A48C8">
        <w:t xml:space="preserve">, the EMC has been allocated </w:t>
      </w:r>
      <w:r w:rsidR="002324BB" w:rsidRPr="001A48C8">
        <w:t xml:space="preserve">ongoing </w:t>
      </w:r>
      <w:r w:rsidRPr="001A48C8">
        <w:t>funding of $</w:t>
      </w:r>
      <w:r w:rsidR="00DC62CD">
        <w:t>425,000</w:t>
      </w:r>
      <w:r w:rsidRPr="001A48C8">
        <w:t xml:space="preserve"> from the </w:t>
      </w:r>
      <w:r w:rsidR="00ED39B2" w:rsidRPr="001A48C8">
        <w:t>Timber Regulation and Forest Restoration Fund (</w:t>
      </w:r>
      <w:r w:rsidRPr="001A48C8">
        <w:t>TRFR</w:t>
      </w:r>
      <w:r w:rsidR="00B032A0" w:rsidRPr="001A48C8">
        <w:t>F</w:t>
      </w:r>
      <w:r w:rsidR="00ED39B2" w:rsidRPr="001A48C8">
        <w:t>)</w:t>
      </w:r>
      <w:r w:rsidR="00B032A0" w:rsidRPr="001A48C8">
        <w:t>,</w:t>
      </w:r>
      <w:r w:rsidR="00ED39B2" w:rsidRPr="001A48C8">
        <w:rPr>
          <w:rStyle w:val="FootnoteReference"/>
          <w:color w:val="000000"/>
          <w:spacing w:val="0"/>
        </w:rPr>
        <w:footnoteReference w:id="5"/>
      </w:r>
      <w:r w:rsidR="00ED39B2" w:rsidRPr="001A48C8">
        <w:t xml:space="preserve"> established by AB 1492 (2012</w:t>
      </w:r>
      <w:r w:rsidR="008E7CAB" w:rsidRPr="001A48C8">
        <w:t>)</w:t>
      </w:r>
      <w:r w:rsidR="008E7CAB">
        <w:t>, o</w:t>
      </w:r>
      <w:r w:rsidR="00DC62CD">
        <w:t xml:space="preserve">f </w:t>
      </w:r>
      <w:r w:rsidR="008E7CAB">
        <w:t xml:space="preserve"> which </w:t>
      </w:r>
      <w:r w:rsidR="00DC62CD">
        <w:t>$154</w:t>
      </w:r>
      <w:r w:rsidR="008E7CAB">
        <w:t>,472 was allotted to support ongoing, previously awarded projects</w:t>
      </w:r>
      <w:r w:rsidR="00834070">
        <w:t>, and $270,528 remains for projects to be funded starting in the 2021/22 FY</w:t>
      </w:r>
      <w:r w:rsidR="008E7CAB">
        <w:t xml:space="preserve">. The EMC anticipates an allocation of $425,000 in FY 2022/23 and 2023/24 as well. </w:t>
      </w:r>
      <w:r w:rsidRPr="001A48C8">
        <w:t xml:space="preserve">This funding </w:t>
      </w:r>
      <w:r w:rsidR="00B032A0" w:rsidRPr="001A48C8">
        <w:t>is</w:t>
      </w:r>
      <w:r w:rsidR="00ED39B2" w:rsidRPr="001A48C8">
        <w:t xml:space="preserve"> granted through the </w:t>
      </w:r>
      <w:r w:rsidRPr="001A48C8">
        <w:t>Board/CAL FIRE contracting process.</w:t>
      </w:r>
      <w:r w:rsidR="007B493D">
        <w:t xml:space="preserve"> </w:t>
      </w:r>
    </w:p>
    <w:p w14:paraId="2160D4C1" w14:textId="77777777" w:rsidR="00834070" w:rsidRPr="00CF5A54" w:rsidRDefault="00834070" w:rsidP="000333B1">
      <w:pPr>
        <w:pStyle w:val="Caption"/>
        <w:keepNext/>
        <w:spacing w:after="60"/>
        <w:rPr>
          <w:b/>
          <w:bCs/>
        </w:rPr>
      </w:pPr>
      <w:bookmarkStart w:id="3" w:name="_Ref89260832"/>
      <w:r w:rsidRPr="00CF5A54">
        <w:rPr>
          <w:b/>
          <w:bCs/>
        </w:rPr>
        <w:lastRenderedPageBreak/>
        <w:t xml:space="preserve">Table </w:t>
      </w:r>
      <w:r w:rsidRPr="00CF5A54">
        <w:rPr>
          <w:b/>
          <w:bCs/>
        </w:rPr>
        <w:fldChar w:fldCharType="begin"/>
      </w:r>
      <w:r w:rsidRPr="00CF5A54">
        <w:rPr>
          <w:b/>
          <w:bCs/>
        </w:rPr>
        <w:instrText xml:space="preserve"> SEQ Table \* ARABIC </w:instrText>
      </w:r>
      <w:r w:rsidRPr="00CF5A54">
        <w:rPr>
          <w:b/>
          <w:bCs/>
        </w:rPr>
        <w:fldChar w:fldCharType="separate"/>
      </w:r>
      <w:r>
        <w:rPr>
          <w:b/>
          <w:bCs/>
          <w:noProof/>
        </w:rPr>
        <w:t>1</w:t>
      </w:r>
      <w:r w:rsidRPr="00CF5A54">
        <w:rPr>
          <w:b/>
          <w:bCs/>
        </w:rPr>
        <w:fldChar w:fldCharType="end"/>
      </w:r>
      <w:bookmarkEnd w:id="3"/>
      <w:r w:rsidRPr="00CF5A54">
        <w:rPr>
          <w:b/>
          <w:bCs/>
        </w:rPr>
        <w:t xml:space="preserve">. </w:t>
      </w:r>
      <w:r>
        <w:rPr>
          <w:b/>
          <w:bCs/>
        </w:rPr>
        <w:t xml:space="preserve">Ongoing </w:t>
      </w:r>
      <w:r w:rsidRPr="00CF5A54">
        <w:rPr>
          <w:b/>
          <w:bCs/>
        </w:rPr>
        <w:t xml:space="preserve">EMC Projects with Continued Funding </w:t>
      </w:r>
      <w:r>
        <w:rPr>
          <w:b/>
          <w:bCs/>
        </w:rPr>
        <w:t xml:space="preserve">and/or Activity </w:t>
      </w:r>
      <w:r w:rsidRPr="00CF5A54">
        <w:rPr>
          <w:b/>
          <w:bCs/>
        </w:rPr>
        <w:t>(2021/2022)</w:t>
      </w:r>
    </w:p>
    <w:tbl>
      <w:tblPr>
        <w:tblW w:w="5000" w:type="pct"/>
        <w:jc w:val="center"/>
        <w:tblCellMar>
          <w:top w:w="15" w:type="dxa"/>
          <w:bottom w:w="15" w:type="dxa"/>
        </w:tblCellMar>
        <w:tblLook w:val="04A0" w:firstRow="1" w:lastRow="0" w:firstColumn="1" w:lastColumn="0" w:noHBand="0" w:noVBand="1"/>
        <w:tblDescription w:val="EMC Projects ranked and funded, 2019"/>
      </w:tblPr>
      <w:tblGrid>
        <w:gridCol w:w="1522"/>
        <w:gridCol w:w="4408"/>
        <w:gridCol w:w="1947"/>
        <w:gridCol w:w="1473"/>
      </w:tblGrid>
      <w:tr w:rsidR="00F0431D" w:rsidRPr="00D6464E" w14:paraId="01DA4805" w14:textId="77777777" w:rsidTr="000333B1">
        <w:trPr>
          <w:cantSplit/>
          <w:trHeight w:val="423"/>
          <w:tblHeader/>
          <w:jc w:val="center"/>
        </w:trPr>
        <w:tc>
          <w:tcPr>
            <w:tcW w:w="1522" w:type="dxa"/>
            <w:tcBorders>
              <w:top w:val="single" w:sz="8" w:space="0" w:color="auto"/>
              <w:left w:val="single" w:sz="4" w:space="0" w:color="auto"/>
              <w:bottom w:val="nil"/>
              <w:right w:val="single" w:sz="4" w:space="0" w:color="7F7F7F"/>
            </w:tcBorders>
            <w:shd w:val="clear" w:color="auto" w:fill="D0CECE"/>
            <w:noWrap/>
            <w:vAlign w:val="bottom"/>
            <w:hideMark/>
          </w:tcPr>
          <w:p w14:paraId="1ACEBC3E" w14:textId="77777777" w:rsidR="00F30FC0" w:rsidRPr="00D6464E" w:rsidRDefault="00F30FC0" w:rsidP="000333B1">
            <w:pPr>
              <w:pStyle w:val="TableHeader"/>
              <w:spacing w:after="60"/>
              <w:jc w:val="left"/>
            </w:pPr>
            <w:r w:rsidRPr="00D6464E">
              <w:t>Project</w:t>
            </w:r>
            <w:r>
              <w:t xml:space="preserve"> #</w:t>
            </w:r>
          </w:p>
        </w:tc>
        <w:tc>
          <w:tcPr>
            <w:tcW w:w="4408"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08185EFC" w14:textId="77777777" w:rsidR="00F30FC0" w:rsidRPr="00D6464E" w:rsidRDefault="00F30FC0" w:rsidP="000333B1">
            <w:pPr>
              <w:pStyle w:val="TableHeader"/>
              <w:spacing w:after="60"/>
              <w:jc w:val="left"/>
            </w:pPr>
            <w:r w:rsidRPr="00D6464E">
              <w:t>Title</w:t>
            </w:r>
          </w:p>
        </w:tc>
        <w:tc>
          <w:tcPr>
            <w:tcW w:w="1947"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2A008F76" w14:textId="7F66275E" w:rsidR="00F30FC0" w:rsidRPr="00D6464E" w:rsidRDefault="00F30FC0" w:rsidP="000333B1">
            <w:pPr>
              <w:pStyle w:val="TableHeader"/>
              <w:spacing w:after="60"/>
              <w:jc w:val="left"/>
            </w:pPr>
            <w:r w:rsidRPr="00D6464E">
              <w:t>Primary Investigator</w:t>
            </w:r>
            <w:r>
              <w:t>(s)</w:t>
            </w:r>
          </w:p>
        </w:tc>
        <w:tc>
          <w:tcPr>
            <w:tcW w:w="1473"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11EE6661" w14:textId="77777777" w:rsidR="00F30FC0" w:rsidRPr="00D6464E" w:rsidRDefault="00F30FC0" w:rsidP="000333B1">
            <w:pPr>
              <w:pStyle w:val="TableHeader"/>
              <w:spacing w:after="60"/>
              <w:jc w:val="left"/>
            </w:pPr>
            <w:r w:rsidRPr="00D6464E">
              <w:t xml:space="preserve">Funding </w:t>
            </w:r>
            <w:r>
              <w:t>Status</w:t>
            </w:r>
          </w:p>
        </w:tc>
      </w:tr>
      <w:tr w:rsidR="00F0431D" w:rsidRPr="00D6464E" w14:paraId="7B2DBC2D" w14:textId="77777777" w:rsidTr="000333B1">
        <w:trPr>
          <w:cantSplit/>
          <w:trHeight w:val="638"/>
          <w:jc w:val="center"/>
        </w:trPr>
        <w:tc>
          <w:tcPr>
            <w:tcW w:w="1522" w:type="dxa"/>
            <w:tcBorders>
              <w:top w:val="single" w:sz="4" w:space="0" w:color="7F7F7F"/>
              <w:left w:val="single" w:sz="4" w:space="0" w:color="auto"/>
              <w:bottom w:val="single" w:sz="4" w:space="0" w:color="7F7F7F"/>
              <w:right w:val="single" w:sz="4" w:space="0" w:color="7F7F7F"/>
            </w:tcBorders>
            <w:shd w:val="clear" w:color="auto" w:fill="FFFFFF"/>
            <w:noWrap/>
            <w:hideMark/>
          </w:tcPr>
          <w:p w14:paraId="2E09A4CF" w14:textId="77777777" w:rsidR="00F30FC0" w:rsidRPr="00E5163D" w:rsidRDefault="00F30FC0" w:rsidP="000333B1">
            <w:pPr>
              <w:spacing w:after="60"/>
            </w:pPr>
            <w:r w:rsidRPr="00E5163D">
              <w:t>EMC-201</w:t>
            </w:r>
            <w:r>
              <w:t>5</w:t>
            </w:r>
            <w:r w:rsidRPr="00E5163D">
              <w:t>-00</w:t>
            </w:r>
            <w:r>
              <w:t>1</w:t>
            </w:r>
          </w:p>
        </w:tc>
        <w:tc>
          <w:tcPr>
            <w:tcW w:w="4408" w:type="dxa"/>
            <w:tcBorders>
              <w:top w:val="single" w:sz="4" w:space="0" w:color="auto"/>
              <w:left w:val="single" w:sz="4" w:space="0" w:color="auto"/>
              <w:bottom w:val="single" w:sz="4" w:space="0" w:color="auto"/>
              <w:right w:val="single" w:sz="4" w:space="0" w:color="auto"/>
            </w:tcBorders>
            <w:shd w:val="clear" w:color="auto" w:fill="FFFFFF"/>
            <w:noWrap/>
          </w:tcPr>
          <w:p w14:paraId="43046D7F" w14:textId="77777777" w:rsidR="00F30FC0" w:rsidRPr="00E5163D" w:rsidRDefault="00F30FC0" w:rsidP="000333B1">
            <w:pPr>
              <w:spacing w:after="60"/>
            </w:pPr>
            <w:r w:rsidRPr="00D44A2B">
              <w:rPr>
                <w:rFonts w:eastAsia="Times New Roman"/>
              </w:rPr>
              <w:t>Class II Large Watercourse Study: Multiscale investigation of perennial flow and thermal influence of headwater streams into fish bearing systems</w:t>
            </w:r>
          </w:p>
        </w:tc>
        <w:tc>
          <w:tcPr>
            <w:tcW w:w="1947" w:type="dxa"/>
            <w:tcBorders>
              <w:top w:val="single" w:sz="4" w:space="0" w:color="auto"/>
              <w:left w:val="single" w:sz="4" w:space="0" w:color="auto"/>
              <w:bottom w:val="single" w:sz="4" w:space="0" w:color="auto"/>
              <w:right w:val="single" w:sz="4" w:space="0" w:color="auto"/>
            </w:tcBorders>
            <w:shd w:val="clear" w:color="auto" w:fill="FFFFFF"/>
            <w:noWrap/>
            <w:hideMark/>
          </w:tcPr>
          <w:p w14:paraId="1BE978E1" w14:textId="5F818714" w:rsidR="00F30FC0" w:rsidRPr="00E5163D" w:rsidRDefault="00F30FC0" w:rsidP="000333B1">
            <w:pPr>
              <w:spacing w:after="60"/>
            </w:pPr>
            <w:r w:rsidRPr="00E5163D">
              <w:t>Kevin Bladon</w:t>
            </w:r>
            <w:r>
              <w:t xml:space="preserve"> &amp;</w:t>
            </w:r>
            <w:r w:rsidRPr="00E5163D">
              <w:t xml:space="preserve"> Catalina Segura</w:t>
            </w:r>
          </w:p>
        </w:tc>
        <w:tc>
          <w:tcPr>
            <w:tcW w:w="1473" w:type="dxa"/>
            <w:tcBorders>
              <w:top w:val="single" w:sz="4" w:space="0" w:color="auto"/>
              <w:left w:val="single" w:sz="4" w:space="0" w:color="auto"/>
              <w:bottom w:val="single" w:sz="4" w:space="0" w:color="auto"/>
              <w:right w:val="single" w:sz="4" w:space="0" w:color="auto"/>
            </w:tcBorders>
            <w:shd w:val="clear" w:color="auto" w:fill="FFFFFF"/>
            <w:noWrap/>
            <w:hideMark/>
          </w:tcPr>
          <w:p w14:paraId="6D14BC77" w14:textId="77777777" w:rsidR="00F30FC0" w:rsidRPr="00E5163D" w:rsidRDefault="00F30FC0" w:rsidP="000333B1">
            <w:pPr>
              <w:spacing w:after="60"/>
            </w:pPr>
            <w:r>
              <w:t>Fully allocated</w:t>
            </w:r>
          </w:p>
        </w:tc>
      </w:tr>
      <w:tr w:rsidR="00F0431D" w:rsidRPr="00D6464E" w14:paraId="47733ABE" w14:textId="77777777" w:rsidTr="000333B1">
        <w:trPr>
          <w:cantSplit/>
          <w:trHeight w:val="638"/>
          <w:jc w:val="center"/>
        </w:trPr>
        <w:tc>
          <w:tcPr>
            <w:tcW w:w="1522" w:type="dxa"/>
            <w:tcBorders>
              <w:top w:val="single" w:sz="4" w:space="0" w:color="7F7F7F"/>
              <w:left w:val="single" w:sz="4" w:space="0" w:color="auto"/>
              <w:bottom w:val="single" w:sz="4" w:space="0" w:color="7F7F7F"/>
              <w:right w:val="single" w:sz="4" w:space="0" w:color="7F7F7F"/>
            </w:tcBorders>
            <w:shd w:val="clear" w:color="auto" w:fill="FFFFFF"/>
            <w:noWrap/>
          </w:tcPr>
          <w:p w14:paraId="7D923191" w14:textId="77777777" w:rsidR="00F30FC0" w:rsidRPr="00E5163D" w:rsidRDefault="00F30FC0" w:rsidP="000333B1">
            <w:pPr>
              <w:spacing w:after="60"/>
            </w:pPr>
            <w:r w:rsidRPr="00E5163D">
              <w:t>EMC-2016-00</w:t>
            </w:r>
            <w:r>
              <w:t>2</w:t>
            </w:r>
          </w:p>
        </w:tc>
        <w:tc>
          <w:tcPr>
            <w:tcW w:w="440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C848D0C" w14:textId="6B727EF0" w:rsidR="00F30FC0" w:rsidRPr="00E5163D" w:rsidRDefault="00F30FC0" w:rsidP="000333B1">
            <w:pPr>
              <w:spacing w:after="60"/>
              <w:rPr>
                <w:color w:val="000000"/>
              </w:rPr>
            </w:pPr>
            <w:r w:rsidRPr="00B54B64">
              <w:t>Post-fire Effectiveness of the Forest Practice Rules in Protecting Water Quality on Boggs Mountain Demonstration State Forest</w:t>
            </w:r>
          </w:p>
        </w:tc>
        <w:tc>
          <w:tcPr>
            <w:tcW w:w="1947" w:type="dxa"/>
            <w:tcBorders>
              <w:top w:val="single" w:sz="4" w:space="0" w:color="auto"/>
              <w:left w:val="single" w:sz="4" w:space="0" w:color="auto"/>
              <w:bottom w:val="single" w:sz="4" w:space="0" w:color="auto"/>
              <w:right w:val="single" w:sz="4" w:space="0" w:color="auto"/>
            </w:tcBorders>
            <w:shd w:val="clear" w:color="auto" w:fill="FFFFFF"/>
            <w:noWrap/>
          </w:tcPr>
          <w:p w14:paraId="3423EB7D" w14:textId="756B5540" w:rsidR="00F30FC0" w:rsidRPr="00E5163D" w:rsidRDefault="00F30FC0" w:rsidP="000333B1">
            <w:pPr>
              <w:spacing w:after="60"/>
            </w:pPr>
            <w:r w:rsidRPr="004F2D1F">
              <w:rPr>
                <w:rFonts w:eastAsia="Times New Roman"/>
              </w:rPr>
              <w:t xml:space="preserve">Joe </w:t>
            </w:r>
            <w:proofErr w:type="spellStart"/>
            <w:r w:rsidRPr="004F2D1F">
              <w:rPr>
                <w:rFonts w:eastAsia="Times New Roman"/>
              </w:rPr>
              <w:t>Wagenbrenne</w:t>
            </w:r>
            <w:r>
              <w:rPr>
                <w:rFonts w:eastAsia="Times New Roman"/>
              </w:rPr>
              <w:t>r</w:t>
            </w:r>
            <w:proofErr w:type="spellEnd"/>
            <w:r>
              <w:rPr>
                <w:rFonts w:eastAsia="Times New Roman"/>
              </w:rPr>
              <w:t xml:space="preserve">, </w:t>
            </w:r>
            <w:r w:rsidRPr="00B54B64">
              <w:rPr>
                <w:rFonts w:eastAsia="Times New Roman"/>
              </w:rPr>
              <w:t xml:space="preserve">Kevin </w:t>
            </w:r>
            <w:proofErr w:type="spellStart"/>
            <w:r w:rsidRPr="00B54B64">
              <w:rPr>
                <w:rFonts w:eastAsia="Times New Roman"/>
              </w:rPr>
              <w:t>Bladon</w:t>
            </w:r>
            <w:proofErr w:type="spellEnd"/>
            <w:r>
              <w:rPr>
                <w:rFonts w:eastAsia="Times New Roman"/>
              </w:rPr>
              <w:t xml:space="preserve">, </w:t>
            </w:r>
            <w:r w:rsidRPr="00B54B64">
              <w:rPr>
                <w:rFonts w:eastAsia="Times New Roman"/>
              </w:rPr>
              <w:t>Drew Coe</w:t>
            </w:r>
            <w:r>
              <w:rPr>
                <w:rFonts w:eastAsia="Times New Roman"/>
              </w:rPr>
              <w:t xml:space="preserve">, &amp; </w:t>
            </w:r>
            <w:r w:rsidRPr="00B54B64">
              <w:rPr>
                <w:rFonts w:eastAsia="Times New Roman"/>
              </w:rPr>
              <w:t>Don Lindsay</w:t>
            </w:r>
          </w:p>
        </w:tc>
        <w:tc>
          <w:tcPr>
            <w:tcW w:w="1473" w:type="dxa"/>
            <w:tcBorders>
              <w:top w:val="single" w:sz="4" w:space="0" w:color="auto"/>
              <w:left w:val="single" w:sz="4" w:space="0" w:color="auto"/>
              <w:bottom w:val="single" w:sz="4" w:space="0" w:color="auto"/>
              <w:right w:val="single" w:sz="4" w:space="0" w:color="auto"/>
            </w:tcBorders>
            <w:shd w:val="clear" w:color="auto" w:fill="FFFFFF"/>
            <w:noWrap/>
          </w:tcPr>
          <w:p w14:paraId="6CF328DB" w14:textId="17CA9934" w:rsidR="00F30FC0" w:rsidRPr="00E5163D" w:rsidRDefault="00F30FC0" w:rsidP="000333B1">
            <w:pPr>
              <w:spacing w:after="60"/>
            </w:pPr>
            <w:r>
              <w:t xml:space="preserve">Not applicable* </w:t>
            </w:r>
          </w:p>
        </w:tc>
      </w:tr>
      <w:tr w:rsidR="00F0431D" w:rsidRPr="00D6464E" w14:paraId="0EEBB978" w14:textId="77777777" w:rsidTr="000333B1">
        <w:trPr>
          <w:cantSplit/>
          <w:trHeight w:val="638"/>
          <w:jc w:val="center"/>
        </w:trPr>
        <w:tc>
          <w:tcPr>
            <w:tcW w:w="1522" w:type="dxa"/>
            <w:tcBorders>
              <w:top w:val="single" w:sz="4" w:space="0" w:color="7F7F7F"/>
              <w:left w:val="single" w:sz="4" w:space="0" w:color="auto"/>
              <w:bottom w:val="single" w:sz="4" w:space="0" w:color="7F7F7F"/>
              <w:right w:val="single" w:sz="4" w:space="0" w:color="7F7F7F"/>
            </w:tcBorders>
            <w:shd w:val="clear" w:color="auto" w:fill="FFFFFF"/>
            <w:noWrap/>
            <w:hideMark/>
          </w:tcPr>
          <w:p w14:paraId="3F2831E0" w14:textId="77777777" w:rsidR="00F30FC0" w:rsidRPr="00E5163D" w:rsidRDefault="00F30FC0" w:rsidP="000333B1">
            <w:pPr>
              <w:spacing w:after="60"/>
            </w:pPr>
            <w:r w:rsidRPr="00E5163D">
              <w:t>EMC-2016-003</w:t>
            </w:r>
          </w:p>
        </w:tc>
        <w:tc>
          <w:tcPr>
            <w:tcW w:w="4408" w:type="dxa"/>
            <w:tcBorders>
              <w:top w:val="single" w:sz="4" w:space="0" w:color="auto"/>
              <w:left w:val="single" w:sz="4" w:space="0" w:color="auto"/>
              <w:bottom w:val="single" w:sz="4" w:space="0" w:color="auto"/>
              <w:right w:val="single" w:sz="4" w:space="0" w:color="auto"/>
            </w:tcBorders>
            <w:shd w:val="clear" w:color="auto" w:fill="FFFFFF"/>
            <w:noWrap/>
          </w:tcPr>
          <w:p w14:paraId="040E2C28" w14:textId="77777777" w:rsidR="00F30FC0" w:rsidRPr="00E5163D" w:rsidRDefault="00F30FC0" w:rsidP="000333B1">
            <w:pPr>
              <w:spacing w:after="60"/>
            </w:pPr>
            <w:r w:rsidRPr="00E5163D">
              <w:rPr>
                <w:color w:val="000000"/>
              </w:rPr>
              <w:t>Road Rules Effectiveness at Reducing Mass Wasting (Repeat LiDAR Surveys to Detect Landslides)</w:t>
            </w:r>
          </w:p>
        </w:tc>
        <w:tc>
          <w:tcPr>
            <w:tcW w:w="1947" w:type="dxa"/>
            <w:tcBorders>
              <w:top w:val="single" w:sz="4" w:space="0" w:color="auto"/>
              <w:left w:val="single" w:sz="4" w:space="0" w:color="auto"/>
              <w:bottom w:val="single" w:sz="4" w:space="0" w:color="auto"/>
              <w:right w:val="single" w:sz="4" w:space="0" w:color="auto"/>
            </w:tcBorders>
            <w:shd w:val="clear" w:color="auto" w:fill="FFFFFF"/>
            <w:noWrap/>
            <w:hideMark/>
          </w:tcPr>
          <w:p w14:paraId="2EC09C7A" w14:textId="2AB51BEC" w:rsidR="00F30FC0" w:rsidRPr="00E5163D" w:rsidRDefault="00F30FC0" w:rsidP="000333B1">
            <w:pPr>
              <w:spacing w:after="60"/>
            </w:pPr>
            <w:r w:rsidRPr="00E5163D">
              <w:t>Bill Short &amp; Matt O'Connor</w:t>
            </w:r>
          </w:p>
        </w:tc>
        <w:tc>
          <w:tcPr>
            <w:tcW w:w="1473" w:type="dxa"/>
            <w:tcBorders>
              <w:top w:val="single" w:sz="4" w:space="0" w:color="auto"/>
              <w:left w:val="single" w:sz="4" w:space="0" w:color="auto"/>
              <w:bottom w:val="single" w:sz="4" w:space="0" w:color="auto"/>
              <w:right w:val="single" w:sz="4" w:space="0" w:color="auto"/>
            </w:tcBorders>
            <w:shd w:val="clear" w:color="auto" w:fill="FFFFFF"/>
            <w:noWrap/>
            <w:hideMark/>
          </w:tcPr>
          <w:p w14:paraId="5CB5DC07" w14:textId="06B1F324" w:rsidR="00F30FC0" w:rsidRPr="00E5163D" w:rsidRDefault="00F30FC0" w:rsidP="000333B1">
            <w:pPr>
              <w:spacing w:after="60"/>
            </w:pPr>
            <w:r>
              <w:t xml:space="preserve">Fully </w:t>
            </w:r>
            <w:r w:rsidR="00B0271B">
              <w:t>a</w:t>
            </w:r>
            <w:r>
              <w:t>llocated</w:t>
            </w:r>
          </w:p>
          <w:p w14:paraId="47C6E231" w14:textId="77777777" w:rsidR="00F30FC0" w:rsidRPr="00E5163D" w:rsidRDefault="00F30FC0" w:rsidP="000333B1">
            <w:pPr>
              <w:spacing w:after="60"/>
            </w:pPr>
          </w:p>
        </w:tc>
      </w:tr>
      <w:tr w:rsidR="00F0431D" w:rsidRPr="00D6464E" w14:paraId="014B3CA2" w14:textId="77777777" w:rsidTr="000333B1">
        <w:trPr>
          <w:cantSplit/>
          <w:trHeight w:val="638"/>
          <w:jc w:val="center"/>
        </w:trPr>
        <w:tc>
          <w:tcPr>
            <w:tcW w:w="1522" w:type="dxa"/>
            <w:tcBorders>
              <w:top w:val="single" w:sz="4" w:space="0" w:color="7F7F7F"/>
              <w:left w:val="single" w:sz="4" w:space="0" w:color="auto"/>
              <w:bottom w:val="single" w:sz="4" w:space="0" w:color="7F7F7F"/>
              <w:right w:val="single" w:sz="4" w:space="0" w:color="7F7F7F"/>
            </w:tcBorders>
            <w:shd w:val="clear" w:color="auto" w:fill="FFFFFF"/>
            <w:noWrap/>
          </w:tcPr>
          <w:p w14:paraId="130B2EC7" w14:textId="6B7E2920" w:rsidR="00F30FC0" w:rsidRPr="00E5163D" w:rsidRDefault="00F30FC0" w:rsidP="000333B1">
            <w:pPr>
              <w:spacing w:after="60"/>
            </w:pPr>
            <w:r>
              <w:t>EMC-2017-001</w:t>
            </w:r>
          </w:p>
        </w:tc>
        <w:tc>
          <w:tcPr>
            <w:tcW w:w="440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F0E3447" w14:textId="07CFB08C" w:rsidR="00F30FC0" w:rsidRPr="00E5163D" w:rsidRDefault="00F30FC0" w:rsidP="000333B1">
            <w:pPr>
              <w:spacing w:after="60"/>
              <w:rPr>
                <w:color w:val="000000"/>
              </w:rPr>
            </w:pPr>
            <w:r w:rsidRPr="00B54B64">
              <w:t>Effects of Forest Stand Density Reduction on Nutrient Cycling and Nutrient Transport at the Caspar Creek Experimental Watershed</w:t>
            </w:r>
          </w:p>
        </w:tc>
        <w:tc>
          <w:tcPr>
            <w:tcW w:w="1947" w:type="dxa"/>
            <w:tcBorders>
              <w:top w:val="single" w:sz="4" w:space="0" w:color="auto"/>
              <w:left w:val="single" w:sz="4" w:space="0" w:color="auto"/>
              <w:bottom w:val="single" w:sz="4" w:space="0" w:color="auto"/>
              <w:right w:val="single" w:sz="4" w:space="0" w:color="auto"/>
            </w:tcBorders>
            <w:shd w:val="clear" w:color="auto" w:fill="FFFFFF"/>
            <w:noWrap/>
          </w:tcPr>
          <w:p w14:paraId="4EF8532C" w14:textId="44A7FC5A" w:rsidR="00F30FC0" w:rsidRPr="00E5163D" w:rsidRDefault="00F30FC0" w:rsidP="000333B1">
            <w:pPr>
              <w:spacing w:after="60"/>
            </w:pPr>
            <w:r>
              <w:t>Helen Dahlke &amp; Randy Dahlgren</w:t>
            </w:r>
          </w:p>
        </w:tc>
        <w:tc>
          <w:tcPr>
            <w:tcW w:w="1473" w:type="dxa"/>
            <w:tcBorders>
              <w:top w:val="single" w:sz="4" w:space="0" w:color="auto"/>
              <w:left w:val="single" w:sz="4" w:space="0" w:color="auto"/>
              <w:bottom w:val="single" w:sz="4" w:space="0" w:color="auto"/>
              <w:right w:val="single" w:sz="4" w:space="0" w:color="auto"/>
            </w:tcBorders>
            <w:shd w:val="clear" w:color="auto" w:fill="FFFFFF"/>
            <w:noWrap/>
          </w:tcPr>
          <w:p w14:paraId="15B5FA2D" w14:textId="6A26AE3B" w:rsidR="00F30FC0" w:rsidRDefault="0009412D" w:rsidP="000333B1">
            <w:pPr>
              <w:spacing w:after="60"/>
            </w:pPr>
            <w:r w:rsidRPr="00CF5A54">
              <w:rPr>
                <w:highlight w:val="yellow"/>
              </w:rPr>
              <w:t>$</w:t>
            </w:r>
          </w:p>
        </w:tc>
      </w:tr>
      <w:tr w:rsidR="00F0431D" w:rsidRPr="006F4E82" w14:paraId="66C27EFE" w14:textId="77777777" w:rsidTr="000333B1">
        <w:trPr>
          <w:cantSplit/>
          <w:trHeight w:val="638"/>
          <w:jc w:val="center"/>
        </w:trPr>
        <w:tc>
          <w:tcPr>
            <w:tcW w:w="1522" w:type="dxa"/>
            <w:tcBorders>
              <w:top w:val="single" w:sz="4" w:space="0" w:color="7F7F7F"/>
              <w:left w:val="single" w:sz="4" w:space="0" w:color="auto"/>
              <w:bottom w:val="single" w:sz="4" w:space="0" w:color="7F7F7F"/>
              <w:right w:val="single" w:sz="4" w:space="0" w:color="7F7F7F"/>
            </w:tcBorders>
            <w:shd w:val="clear" w:color="auto" w:fill="FFFFFF"/>
            <w:noWrap/>
            <w:hideMark/>
          </w:tcPr>
          <w:p w14:paraId="3F695CC0" w14:textId="77777777" w:rsidR="00F30FC0" w:rsidRPr="00E5163D" w:rsidRDefault="00F30FC0" w:rsidP="000333B1">
            <w:pPr>
              <w:spacing w:after="60"/>
            </w:pPr>
            <w:r w:rsidRPr="00E5163D">
              <w:t>EMC-2017-006</w:t>
            </w:r>
          </w:p>
        </w:tc>
        <w:tc>
          <w:tcPr>
            <w:tcW w:w="4408" w:type="dxa"/>
            <w:tcBorders>
              <w:top w:val="single" w:sz="4" w:space="0" w:color="auto"/>
              <w:left w:val="single" w:sz="4" w:space="0" w:color="auto"/>
              <w:bottom w:val="single" w:sz="4" w:space="0" w:color="auto"/>
              <w:right w:val="single" w:sz="4" w:space="0" w:color="auto"/>
            </w:tcBorders>
            <w:shd w:val="clear" w:color="auto" w:fill="FFFFFF"/>
            <w:noWrap/>
          </w:tcPr>
          <w:p w14:paraId="4818024C" w14:textId="77777777" w:rsidR="00F30FC0" w:rsidRPr="00E5163D" w:rsidRDefault="00F30FC0" w:rsidP="000333B1">
            <w:pPr>
              <w:spacing w:after="60"/>
            </w:pPr>
            <w:r w:rsidRPr="00E5163D">
              <w:rPr>
                <w:color w:val="000000"/>
              </w:rPr>
              <w:t>Tradeoffs among Riparian Buffer Zones, Fire Hazard, and Species Composition in the Sierra Nevada</w:t>
            </w:r>
          </w:p>
        </w:tc>
        <w:tc>
          <w:tcPr>
            <w:tcW w:w="1947" w:type="dxa"/>
            <w:tcBorders>
              <w:top w:val="single" w:sz="4" w:space="0" w:color="auto"/>
              <w:left w:val="single" w:sz="4" w:space="0" w:color="auto"/>
              <w:bottom w:val="single" w:sz="4" w:space="0" w:color="auto"/>
              <w:right w:val="single" w:sz="4" w:space="0" w:color="auto"/>
            </w:tcBorders>
            <w:shd w:val="clear" w:color="auto" w:fill="FFFFFF"/>
            <w:noWrap/>
            <w:hideMark/>
          </w:tcPr>
          <w:p w14:paraId="5C1D0190" w14:textId="23DFB0B7" w:rsidR="00F30FC0" w:rsidRPr="00E5163D" w:rsidRDefault="00F30FC0" w:rsidP="000333B1">
            <w:pPr>
              <w:spacing w:after="60"/>
            </w:pPr>
            <w:r w:rsidRPr="00E5163D">
              <w:t>Rob York</w:t>
            </w:r>
          </w:p>
        </w:tc>
        <w:tc>
          <w:tcPr>
            <w:tcW w:w="1473" w:type="dxa"/>
            <w:tcBorders>
              <w:top w:val="single" w:sz="4" w:space="0" w:color="auto"/>
              <w:left w:val="single" w:sz="4" w:space="0" w:color="auto"/>
              <w:bottom w:val="single" w:sz="4" w:space="0" w:color="auto"/>
              <w:right w:val="single" w:sz="4" w:space="0" w:color="auto"/>
            </w:tcBorders>
            <w:shd w:val="clear" w:color="auto" w:fill="FFFFFF"/>
            <w:noWrap/>
            <w:hideMark/>
          </w:tcPr>
          <w:p w14:paraId="59173438" w14:textId="30F28A99" w:rsidR="00F30FC0" w:rsidRPr="00E5163D" w:rsidRDefault="00F30FC0" w:rsidP="000333B1">
            <w:pPr>
              <w:spacing w:after="60"/>
            </w:pPr>
            <w:r w:rsidRPr="00064792">
              <w:rPr>
                <w:highlight w:val="yellow"/>
              </w:rPr>
              <w:t>$</w:t>
            </w:r>
          </w:p>
        </w:tc>
      </w:tr>
      <w:tr w:rsidR="00F0431D" w:rsidRPr="006F4E82" w14:paraId="5ADE3290" w14:textId="77777777" w:rsidTr="000333B1">
        <w:trPr>
          <w:cantSplit/>
          <w:trHeight w:val="638"/>
          <w:jc w:val="center"/>
        </w:trPr>
        <w:tc>
          <w:tcPr>
            <w:tcW w:w="1522" w:type="dxa"/>
            <w:tcBorders>
              <w:top w:val="single" w:sz="4" w:space="0" w:color="7F7F7F"/>
              <w:left w:val="single" w:sz="4" w:space="0" w:color="auto"/>
              <w:bottom w:val="single" w:sz="4" w:space="0" w:color="7F7F7F"/>
              <w:right w:val="single" w:sz="4" w:space="0" w:color="7F7F7F"/>
            </w:tcBorders>
            <w:shd w:val="clear" w:color="auto" w:fill="FFFFFF"/>
            <w:noWrap/>
          </w:tcPr>
          <w:p w14:paraId="45A27E52" w14:textId="0F20A9ED" w:rsidR="0009412D" w:rsidRPr="00E5163D" w:rsidRDefault="0009412D" w:rsidP="000333B1">
            <w:pPr>
              <w:spacing w:after="60"/>
            </w:pPr>
            <w:r>
              <w:t>EMC-2017-007</w:t>
            </w:r>
          </w:p>
        </w:tc>
        <w:tc>
          <w:tcPr>
            <w:tcW w:w="4408" w:type="dxa"/>
            <w:tcBorders>
              <w:top w:val="single" w:sz="4" w:space="0" w:color="auto"/>
              <w:left w:val="single" w:sz="4" w:space="0" w:color="auto"/>
              <w:bottom w:val="single" w:sz="4" w:space="0" w:color="auto"/>
              <w:right w:val="single" w:sz="4" w:space="0" w:color="auto"/>
            </w:tcBorders>
            <w:shd w:val="clear" w:color="auto" w:fill="FFFFFF"/>
            <w:noWrap/>
          </w:tcPr>
          <w:p w14:paraId="05D4F505" w14:textId="10C25F1E" w:rsidR="0009412D" w:rsidRPr="00E5163D" w:rsidRDefault="0009412D" w:rsidP="000333B1">
            <w:pPr>
              <w:spacing w:after="60"/>
              <w:rPr>
                <w:color w:val="000000"/>
              </w:rPr>
            </w:pPr>
            <w:r w:rsidRPr="00B54B64">
              <w:t>The Life Cycle of Dead Trees and Implications for Management</w:t>
            </w:r>
          </w:p>
        </w:tc>
        <w:tc>
          <w:tcPr>
            <w:tcW w:w="1947" w:type="dxa"/>
            <w:tcBorders>
              <w:top w:val="single" w:sz="4" w:space="0" w:color="auto"/>
              <w:left w:val="single" w:sz="4" w:space="0" w:color="auto"/>
              <w:bottom w:val="single" w:sz="4" w:space="0" w:color="auto"/>
              <w:right w:val="single" w:sz="4" w:space="0" w:color="auto"/>
            </w:tcBorders>
            <w:shd w:val="clear" w:color="auto" w:fill="FFFFFF"/>
            <w:noWrap/>
          </w:tcPr>
          <w:p w14:paraId="55C88380" w14:textId="0E51EBFA" w:rsidR="0009412D" w:rsidRPr="00E5163D" w:rsidRDefault="0009412D" w:rsidP="000333B1">
            <w:pPr>
              <w:spacing w:after="60"/>
            </w:pPr>
            <w:r>
              <w:t>John Battles</w:t>
            </w:r>
          </w:p>
        </w:tc>
        <w:tc>
          <w:tcPr>
            <w:tcW w:w="1473" w:type="dxa"/>
            <w:tcBorders>
              <w:top w:val="single" w:sz="4" w:space="0" w:color="auto"/>
              <w:left w:val="single" w:sz="4" w:space="0" w:color="auto"/>
              <w:bottom w:val="single" w:sz="4" w:space="0" w:color="auto"/>
              <w:right w:val="single" w:sz="4" w:space="0" w:color="auto"/>
            </w:tcBorders>
            <w:shd w:val="clear" w:color="auto" w:fill="FFFFFF"/>
            <w:noWrap/>
          </w:tcPr>
          <w:p w14:paraId="0869B8AB" w14:textId="7036A304" w:rsidR="0009412D" w:rsidRPr="0009412D" w:rsidRDefault="0009412D" w:rsidP="000333B1">
            <w:pPr>
              <w:spacing w:after="60"/>
              <w:rPr>
                <w:highlight w:val="yellow"/>
              </w:rPr>
            </w:pPr>
            <w:r w:rsidRPr="00CF5A54">
              <w:rPr>
                <w:highlight w:val="yellow"/>
              </w:rPr>
              <w:t>$</w:t>
            </w:r>
          </w:p>
        </w:tc>
      </w:tr>
      <w:tr w:rsidR="00F0431D" w:rsidRPr="006F4E82" w14:paraId="436CCF3C" w14:textId="77777777" w:rsidTr="000333B1">
        <w:trPr>
          <w:cantSplit/>
          <w:trHeight w:val="638"/>
          <w:jc w:val="center"/>
        </w:trPr>
        <w:tc>
          <w:tcPr>
            <w:tcW w:w="1522" w:type="dxa"/>
            <w:tcBorders>
              <w:top w:val="single" w:sz="4" w:space="0" w:color="7F7F7F"/>
              <w:left w:val="single" w:sz="4" w:space="0" w:color="auto"/>
              <w:bottom w:val="single" w:sz="4" w:space="0" w:color="7F7F7F"/>
              <w:right w:val="single" w:sz="4" w:space="0" w:color="7F7F7F"/>
            </w:tcBorders>
            <w:shd w:val="clear" w:color="auto" w:fill="FFFFFF"/>
            <w:noWrap/>
          </w:tcPr>
          <w:p w14:paraId="1501ABB6" w14:textId="06DBCBD0" w:rsidR="0009412D" w:rsidRDefault="0009412D" w:rsidP="000333B1">
            <w:pPr>
              <w:spacing w:after="60"/>
            </w:pPr>
            <w:r>
              <w:t>EMC-2017-008</w:t>
            </w:r>
          </w:p>
        </w:tc>
        <w:tc>
          <w:tcPr>
            <w:tcW w:w="4408" w:type="dxa"/>
            <w:tcBorders>
              <w:top w:val="single" w:sz="4" w:space="0" w:color="auto"/>
              <w:left w:val="single" w:sz="4" w:space="0" w:color="auto"/>
              <w:bottom w:val="single" w:sz="4" w:space="0" w:color="auto"/>
              <w:right w:val="single" w:sz="4" w:space="0" w:color="auto"/>
            </w:tcBorders>
            <w:shd w:val="clear" w:color="auto" w:fill="FFFFFF"/>
            <w:noWrap/>
          </w:tcPr>
          <w:p w14:paraId="7C25337D" w14:textId="7540D04B" w:rsidR="0009412D" w:rsidRPr="00B54B64" w:rsidRDefault="0009412D" w:rsidP="000333B1">
            <w:pPr>
              <w:spacing w:after="60"/>
            </w:pPr>
            <w:r w:rsidRPr="00B54B64">
              <w:t>Do Forest Practice Rules Minimize Fir Mortality from Root Disease and Bark Beetle Interactions</w:t>
            </w:r>
          </w:p>
        </w:tc>
        <w:tc>
          <w:tcPr>
            <w:tcW w:w="1947" w:type="dxa"/>
            <w:tcBorders>
              <w:top w:val="single" w:sz="4" w:space="0" w:color="auto"/>
              <w:left w:val="single" w:sz="4" w:space="0" w:color="auto"/>
              <w:bottom w:val="single" w:sz="4" w:space="0" w:color="auto"/>
              <w:right w:val="single" w:sz="4" w:space="0" w:color="auto"/>
            </w:tcBorders>
            <w:shd w:val="clear" w:color="auto" w:fill="FFFFFF"/>
            <w:noWrap/>
          </w:tcPr>
          <w:p w14:paraId="3A354277" w14:textId="5F503E8B" w:rsidR="0009412D" w:rsidRDefault="0009412D" w:rsidP="000333B1">
            <w:pPr>
              <w:spacing w:after="60"/>
            </w:pPr>
            <w:r>
              <w:t>Richard Cobb</w:t>
            </w:r>
          </w:p>
        </w:tc>
        <w:tc>
          <w:tcPr>
            <w:tcW w:w="1473" w:type="dxa"/>
            <w:tcBorders>
              <w:top w:val="single" w:sz="4" w:space="0" w:color="auto"/>
              <w:left w:val="single" w:sz="4" w:space="0" w:color="auto"/>
              <w:bottom w:val="single" w:sz="4" w:space="0" w:color="auto"/>
              <w:right w:val="single" w:sz="4" w:space="0" w:color="auto"/>
            </w:tcBorders>
            <w:shd w:val="clear" w:color="auto" w:fill="FFFFFF"/>
            <w:noWrap/>
          </w:tcPr>
          <w:p w14:paraId="2843930B" w14:textId="3C3B5125" w:rsidR="0009412D" w:rsidRPr="00CF5A54" w:rsidRDefault="0009412D" w:rsidP="000333B1">
            <w:pPr>
              <w:spacing w:after="60"/>
              <w:rPr>
                <w:highlight w:val="yellow"/>
              </w:rPr>
            </w:pPr>
            <w:r w:rsidRPr="00CF5A54">
              <w:rPr>
                <w:highlight w:val="yellow"/>
              </w:rPr>
              <w:t>$</w:t>
            </w:r>
          </w:p>
        </w:tc>
      </w:tr>
      <w:tr w:rsidR="00F0431D" w:rsidRPr="006F4E82" w14:paraId="6A0C5530" w14:textId="77777777" w:rsidTr="000333B1">
        <w:trPr>
          <w:cantSplit/>
          <w:trHeight w:val="55"/>
          <w:jc w:val="center"/>
        </w:trPr>
        <w:tc>
          <w:tcPr>
            <w:tcW w:w="1522" w:type="dxa"/>
            <w:tcBorders>
              <w:top w:val="single" w:sz="4" w:space="0" w:color="7F7F7F"/>
              <w:left w:val="single" w:sz="4" w:space="0" w:color="auto"/>
              <w:bottom w:val="single" w:sz="4" w:space="0" w:color="7F7F7F"/>
              <w:right w:val="single" w:sz="4" w:space="0" w:color="7F7F7F"/>
            </w:tcBorders>
            <w:shd w:val="clear" w:color="auto" w:fill="FFFFFF"/>
            <w:noWrap/>
          </w:tcPr>
          <w:p w14:paraId="12712776" w14:textId="77777777" w:rsidR="00F30FC0" w:rsidRPr="00E5163D" w:rsidRDefault="00F30FC0" w:rsidP="000333B1">
            <w:pPr>
              <w:spacing w:after="60"/>
            </w:pPr>
            <w:r w:rsidRPr="00E5163D">
              <w:t>EMC-2018-003</w:t>
            </w:r>
          </w:p>
        </w:tc>
        <w:tc>
          <w:tcPr>
            <w:tcW w:w="4408" w:type="dxa"/>
            <w:tcBorders>
              <w:top w:val="single" w:sz="4" w:space="0" w:color="auto"/>
              <w:left w:val="single" w:sz="4" w:space="0" w:color="auto"/>
              <w:bottom w:val="single" w:sz="4" w:space="0" w:color="auto"/>
              <w:right w:val="single" w:sz="4" w:space="0" w:color="auto"/>
            </w:tcBorders>
            <w:shd w:val="clear" w:color="auto" w:fill="FFFFFF"/>
            <w:noWrap/>
          </w:tcPr>
          <w:p w14:paraId="1A039A75" w14:textId="77777777" w:rsidR="00F30FC0" w:rsidRPr="00E5163D" w:rsidRDefault="00F30FC0" w:rsidP="000333B1">
            <w:pPr>
              <w:spacing w:after="60"/>
            </w:pPr>
            <w:r w:rsidRPr="00E5163D">
              <w:t>Alternative Meadow Restoration</w:t>
            </w:r>
          </w:p>
        </w:tc>
        <w:tc>
          <w:tcPr>
            <w:tcW w:w="1947" w:type="dxa"/>
            <w:tcBorders>
              <w:top w:val="single" w:sz="4" w:space="0" w:color="auto"/>
              <w:left w:val="single" w:sz="4" w:space="0" w:color="auto"/>
              <w:bottom w:val="single" w:sz="4" w:space="0" w:color="auto"/>
              <w:right w:val="single" w:sz="4" w:space="0" w:color="auto"/>
            </w:tcBorders>
            <w:shd w:val="clear" w:color="auto" w:fill="FFFFFF"/>
            <w:noWrap/>
          </w:tcPr>
          <w:p w14:paraId="17494403" w14:textId="32CD25B6" w:rsidR="00F30FC0" w:rsidRPr="00E5163D" w:rsidRDefault="00F30FC0" w:rsidP="000333B1">
            <w:pPr>
              <w:spacing w:after="60"/>
            </w:pPr>
            <w:r w:rsidRPr="00E5163D">
              <w:t xml:space="preserve">Christopher </w:t>
            </w:r>
            <w:proofErr w:type="spellStart"/>
            <w:r w:rsidRPr="00E5163D">
              <w:t>Surfleet</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FFFFFF"/>
            <w:noWrap/>
          </w:tcPr>
          <w:p w14:paraId="7F5E91CD" w14:textId="0783EF03" w:rsidR="00F30FC0" w:rsidRPr="00E5163D" w:rsidRDefault="00B0271B" w:rsidP="000333B1">
            <w:pPr>
              <w:spacing w:after="60"/>
            </w:pPr>
            <w:r>
              <w:t>Fully allocated</w:t>
            </w:r>
          </w:p>
        </w:tc>
      </w:tr>
      <w:tr w:rsidR="00F0431D" w:rsidRPr="006F4E82" w14:paraId="7EFF3A7F" w14:textId="77777777" w:rsidTr="000333B1">
        <w:trPr>
          <w:cantSplit/>
          <w:trHeight w:val="43"/>
          <w:jc w:val="center"/>
        </w:trPr>
        <w:tc>
          <w:tcPr>
            <w:tcW w:w="1522" w:type="dxa"/>
            <w:tcBorders>
              <w:top w:val="single" w:sz="4" w:space="0" w:color="7F7F7F"/>
              <w:left w:val="single" w:sz="4" w:space="0" w:color="auto"/>
              <w:bottom w:val="single" w:sz="4" w:space="0" w:color="7F7F7F"/>
              <w:right w:val="single" w:sz="4" w:space="0" w:color="7F7F7F"/>
            </w:tcBorders>
            <w:shd w:val="clear" w:color="auto" w:fill="FFFFFF"/>
            <w:noWrap/>
            <w:hideMark/>
          </w:tcPr>
          <w:p w14:paraId="762D0C0B" w14:textId="77777777" w:rsidR="00F30FC0" w:rsidRPr="00E5163D" w:rsidRDefault="00F30FC0" w:rsidP="000333B1">
            <w:pPr>
              <w:spacing w:after="60"/>
            </w:pPr>
            <w:r w:rsidRPr="00E5163D">
              <w:t>EMC-2018-006</w:t>
            </w:r>
          </w:p>
          <w:p w14:paraId="3933FAA2" w14:textId="77777777" w:rsidR="00F30FC0" w:rsidRPr="00E5163D" w:rsidRDefault="00F30FC0" w:rsidP="000333B1">
            <w:pPr>
              <w:spacing w:after="60"/>
            </w:pPr>
          </w:p>
        </w:tc>
        <w:tc>
          <w:tcPr>
            <w:tcW w:w="4408" w:type="dxa"/>
            <w:tcBorders>
              <w:top w:val="single" w:sz="4" w:space="0" w:color="auto"/>
              <w:left w:val="single" w:sz="4" w:space="0" w:color="auto"/>
              <w:bottom w:val="single" w:sz="4" w:space="0" w:color="auto"/>
              <w:right w:val="single" w:sz="4" w:space="0" w:color="auto"/>
            </w:tcBorders>
            <w:shd w:val="clear" w:color="auto" w:fill="FFFFFF"/>
            <w:noWrap/>
          </w:tcPr>
          <w:p w14:paraId="1A22DD6A" w14:textId="77777777" w:rsidR="00F30FC0" w:rsidRPr="00E5163D" w:rsidRDefault="00F30FC0" w:rsidP="000333B1">
            <w:pPr>
              <w:spacing w:after="60"/>
            </w:pPr>
            <w:r w:rsidRPr="00E5163D">
              <w:t>Effect of Forest Practice Rules on Restoring Canopy Closure, Water Temperature, &amp; Primary Productivity</w:t>
            </w:r>
          </w:p>
        </w:tc>
        <w:tc>
          <w:tcPr>
            <w:tcW w:w="1947" w:type="dxa"/>
            <w:tcBorders>
              <w:top w:val="single" w:sz="4" w:space="0" w:color="auto"/>
              <w:left w:val="single" w:sz="4" w:space="0" w:color="auto"/>
              <w:bottom w:val="single" w:sz="4" w:space="0" w:color="auto"/>
              <w:right w:val="single" w:sz="4" w:space="0" w:color="auto"/>
            </w:tcBorders>
            <w:shd w:val="clear" w:color="auto" w:fill="FFFFFF"/>
            <w:noWrap/>
          </w:tcPr>
          <w:p w14:paraId="4694E6B3" w14:textId="7F3E760A" w:rsidR="00F30FC0" w:rsidRPr="00E5163D" w:rsidRDefault="00F30FC0" w:rsidP="000333B1">
            <w:pPr>
              <w:spacing w:after="60"/>
            </w:pPr>
            <w:r w:rsidRPr="00E5163D">
              <w:t>Kevin Bladon, Catalina Segura, Matthew House, &amp; Drew Coe</w:t>
            </w:r>
          </w:p>
        </w:tc>
        <w:tc>
          <w:tcPr>
            <w:tcW w:w="1473" w:type="dxa"/>
            <w:tcBorders>
              <w:top w:val="single" w:sz="4" w:space="0" w:color="auto"/>
              <w:left w:val="single" w:sz="4" w:space="0" w:color="auto"/>
              <w:bottom w:val="single" w:sz="4" w:space="0" w:color="auto"/>
              <w:right w:val="single" w:sz="4" w:space="0" w:color="auto"/>
            </w:tcBorders>
            <w:shd w:val="clear" w:color="auto" w:fill="FFFFFF"/>
            <w:noWrap/>
            <w:hideMark/>
          </w:tcPr>
          <w:p w14:paraId="51B04779" w14:textId="77777777" w:rsidR="00F30FC0" w:rsidRPr="00E5163D" w:rsidRDefault="00F30FC0" w:rsidP="000333B1">
            <w:pPr>
              <w:spacing w:after="60"/>
            </w:pPr>
            <w:r w:rsidRPr="00064792">
              <w:rPr>
                <w:highlight w:val="yellow"/>
              </w:rPr>
              <w:t>$154,472.00</w:t>
            </w:r>
          </w:p>
        </w:tc>
      </w:tr>
      <w:tr w:rsidR="00F0431D" w:rsidRPr="00C37C54" w14:paraId="6081EA1A" w14:textId="77777777" w:rsidTr="000333B1">
        <w:trPr>
          <w:cantSplit/>
          <w:trHeight w:val="155"/>
          <w:jc w:val="center"/>
        </w:trPr>
        <w:tc>
          <w:tcPr>
            <w:tcW w:w="1522" w:type="dxa"/>
            <w:tcBorders>
              <w:top w:val="single" w:sz="4" w:space="0" w:color="7F7F7F"/>
              <w:left w:val="single" w:sz="4" w:space="0" w:color="auto"/>
              <w:bottom w:val="single" w:sz="4" w:space="0" w:color="7F7F7F"/>
              <w:right w:val="single" w:sz="4" w:space="0" w:color="7F7F7F"/>
            </w:tcBorders>
            <w:shd w:val="clear" w:color="auto" w:fill="FFFFFF"/>
            <w:noWrap/>
          </w:tcPr>
          <w:p w14:paraId="4DCC6570" w14:textId="77777777" w:rsidR="00F30FC0" w:rsidRPr="00CF5A54" w:rsidRDefault="00F30FC0" w:rsidP="000333B1">
            <w:pPr>
              <w:spacing w:after="60"/>
            </w:pPr>
            <w:r w:rsidRPr="00E5163D">
              <w:t>EMC-2019-002</w:t>
            </w:r>
          </w:p>
        </w:tc>
        <w:tc>
          <w:tcPr>
            <w:tcW w:w="4408" w:type="dxa"/>
            <w:tcBorders>
              <w:top w:val="single" w:sz="4" w:space="0" w:color="auto"/>
              <w:left w:val="single" w:sz="4" w:space="0" w:color="auto"/>
              <w:bottom w:val="single" w:sz="4" w:space="0" w:color="auto"/>
              <w:right w:val="single" w:sz="4" w:space="0" w:color="auto"/>
            </w:tcBorders>
            <w:shd w:val="clear" w:color="auto" w:fill="FFFFFF"/>
            <w:noWrap/>
          </w:tcPr>
          <w:p w14:paraId="355C5FD1" w14:textId="77777777" w:rsidR="00F30FC0" w:rsidRPr="00CF5A54" w:rsidRDefault="00F30FC0" w:rsidP="000333B1">
            <w:pPr>
              <w:spacing w:after="60"/>
            </w:pPr>
            <w:r w:rsidRPr="00E5163D">
              <w:t>Evaluating Treatment Longevity and Maintenance Needs for Fuel Reduction Projects Implemented in the Wildland Urban Interface of Plumas County</w:t>
            </w:r>
          </w:p>
        </w:tc>
        <w:tc>
          <w:tcPr>
            <w:tcW w:w="1947" w:type="dxa"/>
            <w:tcBorders>
              <w:top w:val="single" w:sz="4" w:space="0" w:color="auto"/>
              <w:left w:val="single" w:sz="4" w:space="0" w:color="auto"/>
              <w:bottom w:val="single" w:sz="4" w:space="0" w:color="auto"/>
              <w:right w:val="single" w:sz="4" w:space="0" w:color="auto"/>
            </w:tcBorders>
            <w:shd w:val="clear" w:color="auto" w:fill="FFFFFF"/>
            <w:noWrap/>
          </w:tcPr>
          <w:p w14:paraId="33D49E82" w14:textId="77777777" w:rsidR="00F30FC0" w:rsidRPr="00CF5A54" w:rsidRDefault="00F30FC0" w:rsidP="000333B1">
            <w:pPr>
              <w:spacing w:after="60"/>
            </w:pPr>
            <w:r w:rsidRPr="00CF5A54">
              <w:t>Brad Graevs &amp; Jason Moghaddas</w:t>
            </w:r>
          </w:p>
        </w:tc>
        <w:tc>
          <w:tcPr>
            <w:tcW w:w="1473" w:type="dxa"/>
            <w:tcBorders>
              <w:top w:val="single" w:sz="4" w:space="0" w:color="auto"/>
              <w:left w:val="single" w:sz="4" w:space="0" w:color="auto"/>
              <w:bottom w:val="single" w:sz="4" w:space="0" w:color="auto"/>
              <w:right w:val="single" w:sz="4" w:space="0" w:color="auto"/>
            </w:tcBorders>
            <w:shd w:val="clear" w:color="auto" w:fill="FFFFFF"/>
            <w:noWrap/>
          </w:tcPr>
          <w:p w14:paraId="4B64B67D" w14:textId="77777777" w:rsidR="00F30FC0" w:rsidRPr="00CF5A54" w:rsidRDefault="00F30FC0" w:rsidP="000333B1">
            <w:pPr>
              <w:spacing w:after="60"/>
            </w:pPr>
            <w:r w:rsidRPr="00064792">
              <w:rPr>
                <w:highlight w:val="yellow"/>
              </w:rPr>
              <w:t>$</w:t>
            </w:r>
          </w:p>
        </w:tc>
      </w:tr>
      <w:tr w:rsidR="00F0431D" w:rsidRPr="00C4786C" w14:paraId="3E09F014" w14:textId="77777777" w:rsidTr="000333B1">
        <w:trPr>
          <w:cantSplit/>
          <w:trHeight w:val="403"/>
          <w:jc w:val="center"/>
        </w:trPr>
        <w:tc>
          <w:tcPr>
            <w:tcW w:w="1522" w:type="dxa"/>
            <w:tcBorders>
              <w:top w:val="single" w:sz="4" w:space="0" w:color="7F7F7F"/>
              <w:left w:val="single" w:sz="4" w:space="0" w:color="auto"/>
              <w:bottom w:val="single" w:sz="4" w:space="0" w:color="7F7F7F"/>
              <w:right w:val="single" w:sz="4" w:space="0" w:color="7F7F7F"/>
            </w:tcBorders>
            <w:shd w:val="clear" w:color="auto" w:fill="FFFFFF"/>
            <w:noWrap/>
          </w:tcPr>
          <w:p w14:paraId="7F7149A3" w14:textId="77777777" w:rsidR="00F30FC0" w:rsidRPr="00E5163D" w:rsidRDefault="00F30FC0" w:rsidP="000333B1">
            <w:pPr>
              <w:spacing w:after="60"/>
            </w:pPr>
            <w:r w:rsidRPr="00E5163D">
              <w:t>EMC-2019-003</w:t>
            </w:r>
          </w:p>
          <w:p w14:paraId="3822F9E9" w14:textId="77777777" w:rsidR="00F30FC0" w:rsidRPr="00E5163D" w:rsidRDefault="00F30FC0" w:rsidP="000333B1">
            <w:pPr>
              <w:spacing w:after="60"/>
            </w:pPr>
          </w:p>
        </w:tc>
        <w:tc>
          <w:tcPr>
            <w:tcW w:w="4408" w:type="dxa"/>
            <w:tcBorders>
              <w:top w:val="single" w:sz="4" w:space="0" w:color="auto"/>
              <w:left w:val="single" w:sz="4" w:space="0" w:color="auto"/>
              <w:bottom w:val="single" w:sz="4" w:space="0" w:color="auto"/>
              <w:right w:val="single" w:sz="4" w:space="0" w:color="auto"/>
            </w:tcBorders>
            <w:shd w:val="clear" w:color="auto" w:fill="FFFFFF"/>
            <w:noWrap/>
          </w:tcPr>
          <w:p w14:paraId="30DA37B0" w14:textId="77777777" w:rsidR="00F30FC0" w:rsidRPr="00E5163D" w:rsidRDefault="00F30FC0" w:rsidP="000333B1">
            <w:pPr>
              <w:spacing w:after="60"/>
            </w:pPr>
            <w:r w:rsidRPr="00E5163D">
              <w:t>Fuel Treatments &amp; Hydrologic Implications in the Sierra Nevada</w:t>
            </w:r>
          </w:p>
        </w:tc>
        <w:tc>
          <w:tcPr>
            <w:tcW w:w="1947" w:type="dxa"/>
            <w:tcBorders>
              <w:top w:val="single" w:sz="4" w:space="0" w:color="auto"/>
              <w:left w:val="single" w:sz="4" w:space="0" w:color="auto"/>
              <w:bottom w:val="single" w:sz="4" w:space="0" w:color="auto"/>
              <w:right w:val="single" w:sz="4" w:space="0" w:color="auto"/>
            </w:tcBorders>
            <w:shd w:val="clear" w:color="auto" w:fill="FFFFFF"/>
            <w:noWrap/>
          </w:tcPr>
          <w:p w14:paraId="3E971ED3" w14:textId="18D65773" w:rsidR="00F30FC0" w:rsidRPr="00E5163D" w:rsidRDefault="00F30FC0" w:rsidP="000333B1">
            <w:pPr>
              <w:spacing w:after="60"/>
            </w:pPr>
            <w:r w:rsidRPr="00E5163D">
              <w:t>Terri Hogue &amp;</w:t>
            </w:r>
            <w:r w:rsidR="00B0271B">
              <w:t xml:space="preserve"> </w:t>
            </w:r>
            <w:r w:rsidRPr="00E5163D">
              <w:t>Alicia Kinoshita</w:t>
            </w:r>
            <w:r w:rsidRPr="00E5163D" w:rsidDel="00222AF7">
              <w:t xml:space="preserve"> </w:t>
            </w:r>
          </w:p>
        </w:tc>
        <w:tc>
          <w:tcPr>
            <w:tcW w:w="1473" w:type="dxa"/>
            <w:tcBorders>
              <w:top w:val="single" w:sz="4" w:space="0" w:color="auto"/>
              <w:left w:val="single" w:sz="4" w:space="0" w:color="auto"/>
              <w:bottom w:val="single" w:sz="4" w:space="0" w:color="auto"/>
              <w:right w:val="single" w:sz="4" w:space="0" w:color="auto"/>
            </w:tcBorders>
            <w:shd w:val="clear" w:color="auto" w:fill="FFFFFF"/>
            <w:noWrap/>
          </w:tcPr>
          <w:p w14:paraId="2965B628" w14:textId="77777777" w:rsidR="00F30FC0" w:rsidRPr="00E5163D" w:rsidDel="00222AF7" w:rsidRDefault="00F30FC0" w:rsidP="000333B1">
            <w:pPr>
              <w:spacing w:after="60"/>
            </w:pPr>
            <w:r w:rsidRPr="00064792">
              <w:rPr>
                <w:highlight w:val="yellow"/>
              </w:rPr>
              <w:t>$58,397.79</w:t>
            </w:r>
          </w:p>
        </w:tc>
      </w:tr>
      <w:tr w:rsidR="00F0431D" w:rsidRPr="006F4E82" w14:paraId="4397AD1C" w14:textId="77777777" w:rsidTr="000333B1">
        <w:trPr>
          <w:cantSplit/>
          <w:trHeight w:val="403"/>
          <w:jc w:val="center"/>
        </w:trPr>
        <w:tc>
          <w:tcPr>
            <w:tcW w:w="1522" w:type="dxa"/>
            <w:tcBorders>
              <w:top w:val="single" w:sz="4" w:space="0" w:color="7F7F7F"/>
              <w:left w:val="single" w:sz="4" w:space="0" w:color="auto"/>
              <w:bottom w:val="single" w:sz="4" w:space="0" w:color="7F7F7F"/>
              <w:right w:val="single" w:sz="4" w:space="0" w:color="7F7F7F"/>
            </w:tcBorders>
            <w:shd w:val="clear" w:color="auto" w:fill="FFFFFF"/>
            <w:noWrap/>
          </w:tcPr>
          <w:p w14:paraId="1E4BF70D" w14:textId="77777777" w:rsidR="00F30FC0" w:rsidRPr="00CF5A54" w:rsidRDefault="00F30FC0" w:rsidP="000333B1">
            <w:pPr>
              <w:spacing w:after="60"/>
            </w:pPr>
            <w:r w:rsidRPr="00CF5A54">
              <w:t>EMC-2019-005</w:t>
            </w:r>
          </w:p>
        </w:tc>
        <w:tc>
          <w:tcPr>
            <w:tcW w:w="440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35161A5" w14:textId="77777777" w:rsidR="00F30FC0" w:rsidRPr="00CF5A54" w:rsidRDefault="00F30FC0" w:rsidP="000333B1">
            <w:pPr>
              <w:spacing w:after="60"/>
            </w:pPr>
            <w:r w:rsidRPr="00E5163D">
              <w:t>Sediment Monitoring and Fish Habitat – San Vicente Accelerated Wood Recruitment</w:t>
            </w:r>
          </w:p>
        </w:tc>
        <w:tc>
          <w:tcPr>
            <w:tcW w:w="1947" w:type="dxa"/>
            <w:tcBorders>
              <w:top w:val="single" w:sz="4" w:space="0" w:color="auto"/>
              <w:left w:val="single" w:sz="4" w:space="0" w:color="auto"/>
              <w:bottom w:val="single" w:sz="4" w:space="0" w:color="auto"/>
              <w:right w:val="single" w:sz="4" w:space="0" w:color="auto"/>
            </w:tcBorders>
            <w:shd w:val="clear" w:color="auto" w:fill="FFFFFF"/>
            <w:noWrap/>
          </w:tcPr>
          <w:p w14:paraId="441BF26C" w14:textId="77777777" w:rsidR="00F30FC0" w:rsidRPr="00CF5A54" w:rsidRDefault="00F30FC0" w:rsidP="000333B1">
            <w:pPr>
              <w:spacing w:after="60"/>
              <w:rPr>
                <w:rFonts w:ascii="Calibri" w:eastAsia="Times New Roman" w:hAnsi="Calibri" w:cs="Calibri"/>
                <w:color w:val="000000"/>
                <w:spacing w:val="0"/>
              </w:rPr>
            </w:pPr>
            <w:r w:rsidRPr="00E5163D">
              <w:rPr>
                <w:rFonts w:eastAsia="Times New Roman"/>
              </w:rPr>
              <w:t>Cheryl Hayhurst</w:t>
            </w:r>
          </w:p>
        </w:tc>
        <w:tc>
          <w:tcPr>
            <w:tcW w:w="1473" w:type="dxa"/>
            <w:tcBorders>
              <w:top w:val="single" w:sz="4" w:space="0" w:color="auto"/>
              <w:left w:val="single" w:sz="4" w:space="0" w:color="auto"/>
              <w:bottom w:val="single" w:sz="4" w:space="0" w:color="auto"/>
              <w:right w:val="single" w:sz="4" w:space="0" w:color="auto"/>
            </w:tcBorders>
            <w:shd w:val="clear" w:color="auto" w:fill="FFFFFF"/>
            <w:noWrap/>
          </w:tcPr>
          <w:p w14:paraId="6F86DACF" w14:textId="77777777" w:rsidR="00F30FC0" w:rsidRPr="00064792" w:rsidRDefault="00F30FC0" w:rsidP="000333B1">
            <w:pPr>
              <w:spacing w:after="60"/>
              <w:rPr>
                <w:highlight w:val="yellow"/>
              </w:rPr>
            </w:pPr>
            <w:r w:rsidRPr="00064792">
              <w:rPr>
                <w:highlight w:val="yellow"/>
              </w:rPr>
              <w:t>$56,200.00</w:t>
            </w:r>
          </w:p>
        </w:tc>
      </w:tr>
    </w:tbl>
    <w:p w14:paraId="05A6F835" w14:textId="679DACAC" w:rsidR="00834070" w:rsidRPr="00CF0B6B" w:rsidRDefault="0002407C" w:rsidP="00F0431D">
      <w:pPr>
        <w:spacing w:after="60"/>
      </w:pPr>
      <w:r>
        <w:t>*EMC-supported, but not EMC-funded</w:t>
      </w:r>
    </w:p>
    <w:p w14:paraId="19971FCD" w14:textId="77777777" w:rsidR="008E7CAB" w:rsidRDefault="003D4934" w:rsidP="00B8427D">
      <w:pPr>
        <w:pStyle w:val="Heading1"/>
      </w:pPr>
      <w:r w:rsidRPr="00467F7A">
        <w:lastRenderedPageBreak/>
        <w:t xml:space="preserve">EMC ACCOMPLISHMENTS </w:t>
      </w:r>
    </w:p>
    <w:p w14:paraId="22A31A7A" w14:textId="2840A227" w:rsidR="003D4934" w:rsidRPr="001A48C8" w:rsidRDefault="0083034C" w:rsidP="00B8427D">
      <w:r>
        <w:t xml:space="preserve">In </w:t>
      </w:r>
      <w:r w:rsidR="008E7CAB">
        <w:t>2021</w:t>
      </w:r>
      <w:r w:rsidR="003334BD">
        <w:t>,</w:t>
      </w:r>
      <w:r w:rsidR="003334BD" w:rsidRPr="001A48C8">
        <w:t xml:space="preserve"> </w:t>
      </w:r>
      <w:r w:rsidR="003D4934" w:rsidRPr="001A48C8">
        <w:t xml:space="preserve">the EMC accomplished the following: </w:t>
      </w:r>
    </w:p>
    <w:p w14:paraId="222CB85F" w14:textId="5BEFE009" w:rsidR="00917531" w:rsidRDefault="00917531" w:rsidP="00F0431D">
      <w:pPr>
        <w:pStyle w:val="ListParagraph"/>
        <w:numPr>
          <w:ilvl w:val="0"/>
          <w:numId w:val="2"/>
        </w:numPr>
        <w:spacing w:after="60"/>
      </w:pPr>
      <w:r>
        <w:t>The EMC m</w:t>
      </w:r>
      <w:r w:rsidRPr="001A48C8">
        <w:t xml:space="preserve">et </w:t>
      </w:r>
      <w:r w:rsidR="00064792">
        <w:t xml:space="preserve">five </w:t>
      </w:r>
      <w:r>
        <w:t xml:space="preserve">times virtually </w:t>
      </w:r>
      <w:r w:rsidRPr="001A48C8">
        <w:t xml:space="preserve">in open, webcast meetings to conduct </w:t>
      </w:r>
      <w:r>
        <w:t>business</w:t>
      </w:r>
      <w:r w:rsidRPr="001A48C8">
        <w:t>.</w:t>
      </w:r>
      <w:r w:rsidR="00064792">
        <w:t xml:space="preserve"> The January meeting was delayed from December 2020.</w:t>
      </w:r>
    </w:p>
    <w:p w14:paraId="541E2E5B" w14:textId="77777777" w:rsidR="00226411" w:rsidRPr="001A48C8" w:rsidRDefault="00226411" w:rsidP="00F0431D">
      <w:pPr>
        <w:pStyle w:val="ListParagraph"/>
        <w:numPr>
          <w:ilvl w:val="0"/>
          <w:numId w:val="2"/>
        </w:numPr>
        <w:spacing w:after="60"/>
      </w:pPr>
      <w:r>
        <w:t>The EMC r</w:t>
      </w:r>
      <w:r w:rsidRPr="001A48C8">
        <w:t>eceived an ongoing allocation of $</w:t>
      </w:r>
      <w:r>
        <w:t xml:space="preserve">425,000 </w:t>
      </w:r>
      <w:r w:rsidRPr="001A48C8">
        <w:t>from the Timber Regulation and Forest Restoration Fund</w:t>
      </w:r>
      <w:r>
        <w:t xml:space="preserve">, of which </w:t>
      </w:r>
      <w:r w:rsidRPr="003025A1">
        <w:t xml:space="preserve">$154,472 </w:t>
      </w:r>
      <w:r>
        <w:t xml:space="preserve">was allocated to </w:t>
      </w:r>
      <w:r w:rsidRPr="003025A1">
        <w:t>previously awarded projects</w:t>
      </w:r>
      <w:r>
        <w:t xml:space="preserve"> (see </w:t>
      </w:r>
      <w:r w:rsidRPr="0089671C">
        <w:fldChar w:fldCharType="begin"/>
      </w:r>
      <w:r w:rsidRPr="0089671C">
        <w:instrText xml:space="preserve"> REF _Ref89260832 \h </w:instrText>
      </w:r>
      <w:r w:rsidRPr="00EE61AA">
        <w:instrText xml:space="preserve"> \* MERGEFORMAT </w:instrText>
      </w:r>
      <w:r w:rsidRPr="0089671C">
        <w:fldChar w:fldCharType="separate"/>
      </w:r>
      <w:r w:rsidRPr="0089671C">
        <w:t xml:space="preserve">Table </w:t>
      </w:r>
      <w:r w:rsidRPr="0089671C">
        <w:rPr>
          <w:noProof/>
        </w:rPr>
        <w:t>1</w:t>
      </w:r>
      <w:r w:rsidRPr="0089671C">
        <w:fldChar w:fldCharType="end"/>
      </w:r>
      <w:r>
        <w:t>)</w:t>
      </w:r>
      <w:r w:rsidRPr="003025A1">
        <w:t>, and the remaining $270,528 will be available to projects awarded in the 2021/22 fiscal year</w:t>
      </w:r>
      <w:r w:rsidRPr="001A48C8">
        <w:t>.</w:t>
      </w:r>
    </w:p>
    <w:p w14:paraId="6E07ACA3" w14:textId="52B44091" w:rsidR="002534CD" w:rsidRPr="008253ED" w:rsidRDefault="002534CD" w:rsidP="00F0431D">
      <w:pPr>
        <w:pStyle w:val="ListParagraph"/>
        <w:numPr>
          <w:ilvl w:val="0"/>
          <w:numId w:val="2"/>
        </w:numPr>
        <w:spacing w:after="60"/>
      </w:pPr>
      <w:r>
        <w:t>The EMC reviewed three initial concept proposals</w:t>
      </w:r>
      <w:r w:rsidR="00064792">
        <w:t xml:space="preserve"> </w:t>
      </w:r>
      <w:r>
        <w:t>and requested full concept proposals from two</w:t>
      </w:r>
      <w:r w:rsidR="003025A1">
        <w:t xml:space="preserve"> research teams</w:t>
      </w:r>
      <w:r>
        <w:t>. Upon review and discussion, the committee voted to</w:t>
      </w:r>
      <w:r w:rsidR="00064792">
        <w:t xml:space="preserve"> </w:t>
      </w:r>
      <w:r w:rsidR="00064792" w:rsidRPr="00064792">
        <w:rPr>
          <w:highlight w:val="yellow"/>
        </w:rPr>
        <w:t>XXXXXX</w:t>
      </w:r>
      <w:r>
        <w:t xml:space="preserve">. </w:t>
      </w:r>
    </w:p>
    <w:p w14:paraId="20D6AE9E" w14:textId="77777777" w:rsidR="00917531" w:rsidRDefault="00917531" w:rsidP="00F0431D">
      <w:pPr>
        <w:pStyle w:val="ListParagraph"/>
        <w:numPr>
          <w:ilvl w:val="0"/>
          <w:numId w:val="2"/>
        </w:numPr>
        <w:spacing w:after="60"/>
      </w:pPr>
      <w:r>
        <w:t xml:space="preserve">Research priorities were selected from the established Priority Themes and Critical Monitoring Questions described in the Strategic Plan via anonymous vote of all EMC voting members. The top five critical monitoring questions were prioritized for funding in the 2021/22 FY, although not to the exclusion of projects focusing on the remaining critical monitoring questions. </w:t>
      </w:r>
    </w:p>
    <w:p w14:paraId="52BF6AB0" w14:textId="69EECB7C" w:rsidR="009223BD" w:rsidRPr="0044051B" w:rsidRDefault="009223BD" w:rsidP="00F0431D">
      <w:pPr>
        <w:pStyle w:val="ListParagraph"/>
        <w:numPr>
          <w:ilvl w:val="0"/>
          <w:numId w:val="2"/>
        </w:numPr>
        <w:spacing w:after="60"/>
        <w:rPr>
          <w:spacing w:val="0"/>
          <w:szCs w:val="20"/>
        </w:rPr>
      </w:pPr>
      <w:r w:rsidRPr="008253ED">
        <w:t xml:space="preserve">The EMC </w:t>
      </w:r>
      <w:r>
        <w:t xml:space="preserve">finalized </w:t>
      </w:r>
      <w:r w:rsidRPr="008253ED">
        <w:t xml:space="preserve">a new framework for </w:t>
      </w:r>
      <w:r>
        <w:t>processing completed EMC-</w:t>
      </w:r>
      <w:r w:rsidRPr="008253ED">
        <w:t>funded projects</w:t>
      </w:r>
      <w:r>
        <w:t xml:space="preserve"> to better facilitate </w:t>
      </w:r>
      <w:r w:rsidRPr="008253ED">
        <w:t>EMC reporting to the B</w:t>
      </w:r>
      <w:r>
        <w:t>oard. Th</w:t>
      </w:r>
      <w:r w:rsidR="005C5213">
        <w:t>is</w:t>
      </w:r>
      <w:r>
        <w:t xml:space="preserve"> </w:t>
      </w:r>
      <w:r w:rsidR="005C5213">
        <w:t>“</w:t>
      </w:r>
      <w:r>
        <w:t>Completed Research Assessment</w:t>
      </w:r>
      <w:r w:rsidR="005C5213">
        <w:t>”</w:t>
      </w:r>
      <w:r>
        <w:t xml:space="preserve"> </w:t>
      </w:r>
      <w:r w:rsidR="0044051B">
        <w:t xml:space="preserve">(previously known as “Science to Policy Framework”) </w:t>
      </w:r>
      <w:r w:rsidRPr="008253ED">
        <w:t xml:space="preserve">provides a step-by-step approach to guide EMC members in verifying </w:t>
      </w:r>
      <w:r>
        <w:t xml:space="preserve">scientific integrity and validity of the research, and interprets the results of the scientific research as to the implications for management and policy. Two </w:t>
      </w:r>
      <w:r w:rsidRPr="008253ED">
        <w:t xml:space="preserve">EMC members </w:t>
      </w:r>
      <w:r>
        <w:t xml:space="preserve">work with the Principal Investigator(s) of each project to complete the required form, which is then presented to the EMC and amended as necessary prior to presentation to the </w:t>
      </w:r>
      <w:r w:rsidRPr="008253ED">
        <w:t>B</w:t>
      </w:r>
      <w:r>
        <w:t>oard</w:t>
      </w:r>
      <w:r w:rsidRPr="008253ED">
        <w:t>.</w:t>
      </w:r>
      <w:r w:rsidR="0044051B">
        <w:t xml:space="preserve"> This provides an easily </w:t>
      </w:r>
      <w:r w:rsidR="0044051B" w:rsidRPr="0044051B">
        <w:t>understood narrative and synthesis for Board members to give context to study results.</w:t>
      </w:r>
    </w:p>
    <w:p w14:paraId="31752685" w14:textId="77777777" w:rsidR="0044051B" w:rsidRPr="0044051B" w:rsidRDefault="003025A1" w:rsidP="00F0431D">
      <w:pPr>
        <w:pStyle w:val="ListParagraph"/>
        <w:numPr>
          <w:ilvl w:val="0"/>
          <w:numId w:val="2"/>
        </w:numPr>
        <w:spacing w:after="60"/>
        <w:rPr>
          <w:spacing w:val="0"/>
          <w:szCs w:val="20"/>
        </w:rPr>
      </w:pPr>
      <w:r w:rsidRPr="0044051B">
        <w:rPr>
          <w:spacing w:val="0"/>
          <w:szCs w:val="20"/>
        </w:rPr>
        <w:t xml:space="preserve">A Completed Research Assessment was prepared </w:t>
      </w:r>
      <w:r w:rsidR="00226411" w:rsidRPr="0044051B">
        <w:rPr>
          <w:spacing w:val="0"/>
          <w:szCs w:val="20"/>
        </w:rPr>
        <w:t xml:space="preserve">for project </w:t>
      </w:r>
      <w:r w:rsidRPr="0044051B">
        <w:rPr>
          <w:spacing w:val="0"/>
          <w:szCs w:val="20"/>
        </w:rPr>
        <w:t>EMC-2015-001</w:t>
      </w:r>
      <w:r w:rsidR="00224838" w:rsidRPr="0044051B">
        <w:rPr>
          <w:spacing w:val="0"/>
          <w:szCs w:val="20"/>
        </w:rPr>
        <w:t>:</w:t>
      </w:r>
      <w:r w:rsidR="00226411" w:rsidRPr="0044051B">
        <w:rPr>
          <w:spacing w:val="0"/>
          <w:szCs w:val="20"/>
        </w:rPr>
        <w:t xml:space="preserve"> </w:t>
      </w:r>
      <w:r w:rsidR="00226411" w:rsidRPr="0044051B">
        <w:rPr>
          <w:bCs/>
        </w:rPr>
        <w:t>Effectiveness of Class II Watercourse and Lake Protection Zone (WLPZ) FPRs</w:t>
      </w:r>
      <w:r w:rsidR="00224838" w:rsidRPr="0044051B">
        <w:rPr>
          <w:bCs/>
        </w:rPr>
        <w:t xml:space="preserve"> </w:t>
      </w:r>
      <w:r w:rsidR="00226411" w:rsidRPr="0044051B">
        <w:rPr>
          <w:bCs/>
        </w:rPr>
        <w:t xml:space="preserve">and Aquatic Habitat Conservation Plan (AHCP) Riparian Prescriptions at Maintaining or Restoring Canopy Closure, Stream Water Temperature, and Primary Productivity. The results and implications </w:t>
      </w:r>
      <w:r w:rsidR="00226411" w:rsidRPr="0044051B">
        <w:rPr>
          <w:spacing w:val="0"/>
          <w:szCs w:val="20"/>
        </w:rPr>
        <w:t xml:space="preserve">of this project were presented to the EMC </w:t>
      </w:r>
      <w:r w:rsidRPr="0044051B">
        <w:rPr>
          <w:spacing w:val="0"/>
          <w:szCs w:val="20"/>
        </w:rPr>
        <w:t xml:space="preserve">and </w:t>
      </w:r>
      <w:r w:rsidR="00226411" w:rsidRPr="0044051B">
        <w:rPr>
          <w:spacing w:val="0"/>
          <w:szCs w:val="20"/>
        </w:rPr>
        <w:t xml:space="preserve">then </w:t>
      </w:r>
      <w:r w:rsidRPr="0044051B">
        <w:rPr>
          <w:spacing w:val="0"/>
          <w:szCs w:val="20"/>
        </w:rPr>
        <w:t xml:space="preserve">forwarded to the Board for consideration by the Forest Practice Committee.  </w:t>
      </w:r>
    </w:p>
    <w:p w14:paraId="234000E3" w14:textId="7D18F4A4" w:rsidR="0061668C" w:rsidRPr="0044051B" w:rsidRDefault="0061668C" w:rsidP="00F0431D">
      <w:pPr>
        <w:pStyle w:val="ListParagraph"/>
        <w:numPr>
          <w:ilvl w:val="0"/>
          <w:numId w:val="2"/>
        </w:numPr>
        <w:spacing w:after="60"/>
      </w:pPr>
      <w:r w:rsidRPr="0044051B">
        <w:t xml:space="preserve">While not an EMC-funded project, a final project presentation on a project that is relevant to EMC-funded research (i.e., related to the FPRs and related regulations) was provided on the Railroad Gulch BMP Evaluation Study conducted in the Elk River watershed, Humboldt County. </w:t>
      </w:r>
    </w:p>
    <w:p w14:paraId="3150DD58" w14:textId="28FEA96A" w:rsidR="0071274B" w:rsidRPr="00B554DA" w:rsidRDefault="0071274B" w:rsidP="00F0431D">
      <w:pPr>
        <w:pStyle w:val="ListParagraph"/>
        <w:numPr>
          <w:ilvl w:val="0"/>
          <w:numId w:val="2"/>
        </w:numPr>
        <w:spacing w:after="60"/>
      </w:pPr>
      <w:r w:rsidRPr="00BD76E6">
        <w:t xml:space="preserve">Brief project updates were provided by Principal Investigators and/or Project Liaisons at EMC meetings for the following projects: </w:t>
      </w:r>
      <w:r w:rsidR="00E5163D" w:rsidRPr="00BC36A6">
        <w:t>EMC-2015-001</w:t>
      </w:r>
      <w:r w:rsidR="00A366CF">
        <w:t xml:space="preserve"> (</w:t>
      </w:r>
      <w:r w:rsidR="00A366CF" w:rsidRPr="00D44A2B">
        <w:rPr>
          <w:rFonts w:eastAsia="Times New Roman"/>
        </w:rPr>
        <w:t>Class II Large Watercourse Study</w:t>
      </w:r>
      <w:r w:rsidR="00A366CF">
        <w:rPr>
          <w:rFonts w:eastAsia="Times New Roman"/>
        </w:rPr>
        <w:t>)</w:t>
      </w:r>
      <w:r w:rsidR="00E5163D" w:rsidRPr="00BC36A6">
        <w:t xml:space="preserve">, </w:t>
      </w:r>
      <w:r w:rsidRPr="00BC36A6">
        <w:t>EMC-2016-003</w:t>
      </w:r>
      <w:r w:rsidR="00A366CF">
        <w:t xml:space="preserve"> (</w:t>
      </w:r>
      <w:r w:rsidR="00A366CF" w:rsidRPr="00E5163D">
        <w:rPr>
          <w:color w:val="000000"/>
        </w:rPr>
        <w:t>Repeat LiDAR Surveys to Detect Landslides</w:t>
      </w:r>
      <w:r w:rsidR="00A366CF">
        <w:rPr>
          <w:color w:val="000000"/>
        </w:rPr>
        <w:t>)</w:t>
      </w:r>
      <w:r w:rsidRPr="00BC36A6">
        <w:t>, EMC-2017-001</w:t>
      </w:r>
      <w:r w:rsidR="00A366CF">
        <w:t xml:space="preserve"> (</w:t>
      </w:r>
      <w:r w:rsidR="00A366CF" w:rsidRPr="00B54B64">
        <w:t>Caspar Creek Experimental Watershed</w:t>
      </w:r>
      <w:r w:rsidR="00A366CF">
        <w:t>)</w:t>
      </w:r>
      <w:r w:rsidRPr="00BC36A6">
        <w:t xml:space="preserve">, </w:t>
      </w:r>
      <w:r w:rsidR="00E5163D" w:rsidRPr="00BC36A6">
        <w:t>EMC-2017-008</w:t>
      </w:r>
      <w:r w:rsidR="00A366CF">
        <w:t xml:space="preserve"> (</w:t>
      </w:r>
      <w:r w:rsidR="00A366CF" w:rsidRPr="00B54B64">
        <w:t xml:space="preserve">Forest Practice Rules </w:t>
      </w:r>
      <w:r w:rsidR="00A366CF">
        <w:t xml:space="preserve">and </w:t>
      </w:r>
      <w:r w:rsidR="00A366CF" w:rsidRPr="00B54B64">
        <w:t>Fir Mortality</w:t>
      </w:r>
      <w:r w:rsidR="00A366CF">
        <w:t>)</w:t>
      </w:r>
      <w:r w:rsidR="00E5163D" w:rsidRPr="00BC36A6">
        <w:t>, EMC-2018-003</w:t>
      </w:r>
      <w:r w:rsidR="00A366CF">
        <w:t xml:space="preserve"> (</w:t>
      </w:r>
      <w:r w:rsidR="00A366CF" w:rsidRPr="00E5163D">
        <w:t>Alternative Meadow Restoration</w:t>
      </w:r>
      <w:r w:rsidR="00A366CF">
        <w:t>)</w:t>
      </w:r>
      <w:r w:rsidR="00E5163D" w:rsidRPr="00BC36A6">
        <w:t xml:space="preserve">, </w:t>
      </w:r>
      <w:r w:rsidRPr="00BD76E6">
        <w:t>EMC-2018-006</w:t>
      </w:r>
      <w:r w:rsidR="00A366CF" w:rsidRPr="00A366CF">
        <w:t xml:space="preserve"> </w:t>
      </w:r>
      <w:r w:rsidR="00A366CF">
        <w:t>(</w:t>
      </w:r>
      <w:r w:rsidR="00A366CF" w:rsidRPr="00E5163D">
        <w:t>Effect of Forest Practice Rules</w:t>
      </w:r>
      <w:r w:rsidR="00A366CF">
        <w:t>)</w:t>
      </w:r>
      <w:r w:rsidRPr="00BD76E6">
        <w:t xml:space="preserve">, </w:t>
      </w:r>
      <w:r w:rsidR="00E5163D" w:rsidRPr="00BD76E6">
        <w:t>EMC-2019-002</w:t>
      </w:r>
      <w:r w:rsidR="00A366CF">
        <w:t xml:space="preserve"> (</w:t>
      </w:r>
      <w:r w:rsidR="00A366CF" w:rsidRPr="00E5163D">
        <w:t>Treatment Longevity and Maintenance Needs for Fuel Reduction Projects</w:t>
      </w:r>
      <w:r w:rsidR="00A366CF">
        <w:t>)</w:t>
      </w:r>
      <w:r w:rsidR="00E5163D" w:rsidRPr="00BD76E6">
        <w:t xml:space="preserve">, and </w:t>
      </w:r>
      <w:r w:rsidRPr="00BD76E6">
        <w:t>EMC-2019-005</w:t>
      </w:r>
      <w:r w:rsidR="00A366CF">
        <w:t xml:space="preserve"> (</w:t>
      </w:r>
      <w:r w:rsidR="00A366CF" w:rsidRPr="00E5163D">
        <w:t>San Vicente Accelerated Wood Recruitment</w:t>
      </w:r>
      <w:r w:rsidR="00A366CF">
        <w:t>)</w:t>
      </w:r>
      <w:r w:rsidR="00E5163D" w:rsidRPr="00BD76E6">
        <w:t xml:space="preserve">. </w:t>
      </w:r>
    </w:p>
    <w:p w14:paraId="56D567BB" w14:textId="668C0EBE" w:rsidR="00FB1E3F" w:rsidRPr="00FB1E3F" w:rsidRDefault="00FB1E3F" w:rsidP="00F0431D">
      <w:pPr>
        <w:pStyle w:val="ListParagraph"/>
        <w:numPr>
          <w:ilvl w:val="0"/>
          <w:numId w:val="2"/>
        </w:numPr>
        <w:spacing w:after="60"/>
      </w:pPr>
      <w:r w:rsidRPr="00BD76E6">
        <w:t xml:space="preserve">The EMC implemented a new communication system that was established in 2020, in which individual committee members were assigned as project liaisons to provide check-ins with EMC-funded Principal Investigators to ensure project progress and deliverables are on track for BOF </w:t>
      </w:r>
      <w:r w:rsidRPr="00BD76E6">
        <w:lastRenderedPageBreak/>
        <w:t>acceptance. Project liaisons provided</w:t>
      </w:r>
      <w:r w:rsidRPr="00FB1E3F">
        <w:t xml:space="preserve"> project updates, as appropriate, at regularly scheduled EMC meetings</w:t>
      </w:r>
      <w:r w:rsidR="00917531">
        <w:t>, and worked with Board staff to</w:t>
      </w:r>
      <w:r w:rsidR="00BC2094">
        <w:t xml:space="preserve"> </w:t>
      </w:r>
      <w:r w:rsidR="00917531">
        <w:t xml:space="preserve">facilitate </w:t>
      </w:r>
      <w:r w:rsidR="00BC2094">
        <w:t>communications and plan receipt of deliverables to the EMC</w:t>
      </w:r>
      <w:r w:rsidRPr="00FB1E3F">
        <w:t xml:space="preserve">. </w:t>
      </w:r>
    </w:p>
    <w:p w14:paraId="6990E978" w14:textId="73CD84A3" w:rsidR="00E5163D" w:rsidRDefault="000333B1" w:rsidP="00A366CF">
      <w:r>
        <w:t xml:space="preserve">A Draft Strategic Plan was updated at the end of 2021, and will be finalized in early 2022. </w:t>
      </w:r>
      <w:r w:rsidR="006A1401" w:rsidRPr="00357ECD">
        <w:t xml:space="preserve">The EMC </w:t>
      </w:r>
      <w:r w:rsidR="00481B4D">
        <w:t xml:space="preserve">investigated a </w:t>
      </w:r>
      <w:r w:rsidR="006A1401" w:rsidRPr="00357ECD">
        <w:t xml:space="preserve">grant program as a means of distributing funding </w:t>
      </w:r>
      <w:r w:rsidR="00BC2094">
        <w:t>on</w:t>
      </w:r>
      <w:r w:rsidR="00BC2094" w:rsidRPr="00357ECD">
        <w:t xml:space="preserve"> </w:t>
      </w:r>
      <w:r w:rsidR="006A1401" w:rsidRPr="00357ECD">
        <w:t>future projects</w:t>
      </w:r>
      <w:r w:rsidR="00BC2094">
        <w:t>,</w:t>
      </w:r>
      <w:r w:rsidR="006A1401" w:rsidRPr="00357ECD">
        <w:t xml:space="preserve"> and</w:t>
      </w:r>
      <w:r w:rsidR="00481B4D">
        <w:t xml:space="preserve"> continue</w:t>
      </w:r>
      <w:r w:rsidR="0089671C">
        <w:t>d</w:t>
      </w:r>
      <w:r w:rsidR="00481B4D">
        <w:t xml:space="preserve"> to develop the program for implementation in FY 2021/22. </w:t>
      </w:r>
      <w:r w:rsidR="006A1401" w:rsidRPr="00357ECD">
        <w:t xml:space="preserve"> </w:t>
      </w:r>
    </w:p>
    <w:p w14:paraId="02D058E4" w14:textId="6F1B42DA" w:rsidR="003D4934" w:rsidRDefault="0020152D" w:rsidP="00A366CF">
      <w:pPr>
        <w:pStyle w:val="Heading1"/>
      </w:pPr>
      <w:r>
        <w:t xml:space="preserve">EMC </w:t>
      </w:r>
      <w:r w:rsidR="00F450E5" w:rsidRPr="00467F7A">
        <w:t xml:space="preserve">SUPPORTED MONITORING </w:t>
      </w:r>
      <w:r w:rsidR="00F450E5" w:rsidRPr="00B8427D">
        <w:t>PROJECTS</w:t>
      </w:r>
      <w:r w:rsidR="003D4934" w:rsidRPr="00467F7A">
        <w:t xml:space="preserve"> – 201</w:t>
      </w:r>
      <w:r w:rsidR="00C45C1A" w:rsidRPr="00467F7A">
        <w:t>5</w:t>
      </w:r>
      <w:r w:rsidR="003D4934" w:rsidRPr="00467F7A">
        <w:t xml:space="preserve"> </w:t>
      </w:r>
      <w:r w:rsidR="00C45C1A" w:rsidRPr="00467F7A">
        <w:t xml:space="preserve">to </w:t>
      </w:r>
      <w:r w:rsidR="006104D9">
        <w:t>2021</w:t>
      </w:r>
    </w:p>
    <w:p w14:paraId="0DEEC560" w14:textId="7FB5B7CD" w:rsidR="003D4934" w:rsidRDefault="00E530F4" w:rsidP="00B8427D">
      <w:r w:rsidRPr="001A48C8">
        <w:t xml:space="preserve">The </w:t>
      </w:r>
      <w:r w:rsidR="00586FD8" w:rsidRPr="001A48C8">
        <w:t>comprehensive</w:t>
      </w:r>
      <w:r w:rsidR="000D1AE1" w:rsidRPr="001A48C8">
        <w:t xml:space="preserve"> list</w:t>
      </w:r>
      <w:r w:rsidR="00586FD8" w:rsidRPr="001A48C8">
        <w:t xml:space="preserve"> </w:t>
      </w:r>
      <w:r w:rsidRPr="001A48C8">
        <w:t>of EMC</w:t>
      </w:r>
      <w:r w:rsidR="00B4715F">
        <w:t>-</w:t>
      </w:r>
      <w:r w:rsidRPr="001A48C8">
        <w:t xml:space="preserve">supported monitoring projects can be found on the Board’s </w:t>
      </w:r>
      <w:hyperlink r:id="rId18" w:history="1">
        <w:r w:rsidRPr="001A48C8">
          <w:rPr>
            <w:rStyle w:val="Hyperlink"/>
          </w:rPr>
          <w:t>EMC webpage</w:t>
        </w:r>
      </w:hyperlink>
      <w:r w:rsidR="00C45C1A" w:rsidRPr="001A48C8">
        <w:t xml:space="preserve"> </w:t>
      </w:r>
      <w:r w:rsidR="0066021B" w:rsidRPr="001A48C8">
        <w:t>(</w:t>
      </w:r>
      <w:hyperlink r:id="rId19" w:history="1">
        <w:r w:rsidR="006D2455" w:rsidRPr="00EC0765">
          <w:rPr>
            <w:rStyle w:val="Hyperlink"/>
          </w:rPr>
          <w:t>https://bof.fire.ca.gov/board-committees/effectiveness-monitoring-committee/</w:t>
        </w:r>
      </w:hyperlink>
      <w:r w:rsidR="0066021B" w:rsidRPr="001A48C8">
        <w:t>)</w:t>
      </w:r>
      <w:r w:rsidR="001A48C6">
        <w:t>.</w:t>
      </w:r>
    </w:p>
    <w:p w14:paraId="2A9B01D5" w14:textId="65BC4E5F" w:rsidR="00CC6232" w:rsidRDefault="00CC6232" w:rsidP="00B8427D">
      <w:pPr>
        <w:pStyle w:val="Heading1"/>
      </w:pPr>
      <w:r w:rsidRPr="00467F7A">
        <w:t xml:space="preserve">EMC </w:t>
      </w:r>
      <w:r w:rsidRPr="00B8427D">
        <w:t>PRIORITIES</w:t>
      </w:r>
    </w:p>
    <w:p w14:paraId="17A20599" w14:textId="2A0915C1" w:rsidR="00CC6232" w:rsidRPr="001A48C8" w:rsidRDefault="00CC6232" w:rsidP="00B8427D">
      <w:r w:rsidRPr="001A48C8">
        <w:t xml:space="preserve">EMC priorities are </w:t>
      </w:r>
      <w:r w:rsidR="0066021B" w:rsidRPr="001A48C8">
        <w:t>developed by the Committee, but as an advisory body to the Board, the Board can also request prioritization of items by the EMC</w:t>
      </w:r>
      <w:r w:rsidRPr="001A48C8">
        <w:t>.</w:t>
      </w:r>
      <w:r w:rsidR="0066021B" w:rsidRPr="001A48C8">
        <w:t xml:space="preserve"> The current EMC </w:t>
      </w:r>
      <w:r w:rsidR="009104D6">
        <w:t>p</w:t>
      </w:r>
      <w:r w:rsidR="0066021B" w:rsidRPr="001A48C8">
        <w:t>riorities are as follows:</w:t>
      </w:r>
    </w:p>
    <w:p w14:paraId="5F5BF93C" w14:textId="75532ABA" w:rsidR="00CC6232" w:rsidRPr="00186855" w:rsidRDefault="0066021B" w:rsidP="00B8427D">
      <w:pPr>
        <w:pStyle w:val="ListParagraph"/>
        <w:numPr>
          <w:ilvl w:val="0"/>
          <w:numId w:val="6"/>
        </w:numPr>
        <w:spacing w:after="60"/>
      </w:pPr>
      <w:r w:rsidRPr="00186855">
        <w:t>Support</w:t>
      </w:r>
      <w:r w:rsidR="00CC6232" w:rsidRPr="00186855">
        <w:t xml:space="preserve"> projects related to the EMC themes</w:t>
      </w:r>
      <w:r w:rsidRPr="00186855">
        <w:t xml:space="preserve"> and critical questions.</w:t>
      </w:r>
    </w:p>
    <w:p w14:paraId="66756775" w14:textId="617EA6FB" w:rsidR="00CC6232" w:rsidRPr="00186855" w:rsidRDefault="00CC6232" w:rsidP="00B8427D">
      <w:pPr>
        <w:pStyle w:val="ListParagraph"/>
        <w:numPr>
          <w:ilvl w:val="0"/>
          <w:numId w:val="6"/>
        </w:numPr>
        <w:spacing w:after="60"/>
      </w:pPr>
      <w:r w:rsidRPr="00186855">
        <w:t xml:space="preserve">Monitor progress on previously funded or supported </w:t>
      </w:r>
      <w:r w:rsidR="0066021B" w:rsidRPr="00186855">
        <w:t xml:space="preserve">EMC </w:t>
      </w:r>
      <w:r w:rsidRPr="00186855">
        <w:t>monitoring projects.</w:t>
      </w:r>
    </w:p>
    <w:p w14:paraId="2C7B72F7" w14:textId="62DCEC8B" w:rsidR="00701338" w:rsidRPr="00186855" w:rsidRDefault="0066021B" w:rsidP="00B8427D">
      <w:pPr>
        <w:pStyle w:val="ListParagraph"/>
        <w:numPr>
          <w:ilvl w:val="0"/>
          <w:numId w:val="6"/>
        </w:numPr>
        <w:spacing w:after="60"/>
      </w:pPr>
      <w:r w:rsidRPr="00186855">
        <w:t>Meet in the field at least once</w:t>
      </w:r>
      <w:r w:rsidR="000D1AE1" w:rsidRPr="00186855">
        <w:t xml:space="preserve"> per year</w:t>
      </w:r>
      <w:r w:rsidR="00CC6232" w:rsidRPr="00186855">
        <w:t xml:space="preserve"> to observe active or proposed monitoring projects</w:t>
      </w:r>
      <w:r w:rsidR="001D2603">
        <w:t xml:space="preserve"> (this was not achieved in 2020 </w:t>
      </w:r>
      <w:r w:rsidR="00852624">
        <w:t xml:space="preserve">or 2021 </w:t>
      </w:r>
      <w:r w:rsidR="001D2603">
        <w:t>due to the COVID-19 pandemic</w:t>
      </w:r>
      <w:r w:rsidR="00852624">
        <w:t>, although one virtual field tour was conducted and several comprehensive presentations were given during public meetings</w:t>
      </w:r>
      <w:r w:rsidR="001D2603">
        <w:t>).</w:t>
      </w:r>
    </w:p>
    <w:p w14:paraId="7FE5B87C" w14:textId="3AF6F500" w:rsidR="003D4934" w:rsidRDefault="003D4934" w:rsidP="00B8427D">
      <w:pPr>
        <w:pStyle w:val="Heading1"/>
      </w:pPr>
      <w:bookmarkStart w:id="4" w:name="_Toc410805393"/>
      <w:bookmarkStart w:id="5" w:name="_Toc430594384"/>
      <w:r w:rsidRPr="00467F7A">
        <w:t xml:space="preserve">CURRENT APPOINTED </w:t>
      </w:r>
      <w:r w:rsidR="001A48C6">
        <w:t xml:space="preserve">EMC </w:t>
      </w:r>
      <w:r w:rsidRPr="00467F7A">
        <w:t>MEMBERS</w:t>
      </w:r>
      <w:bookmarkEnd w:id="4"/>
      <w:r w:rsidRPr="00467F7A">
        <w:t xml:space="preserve"> AND STAFF</w:t>
      </w:r>
      <w:bookmarkEnd w:id="5"/>
    </w:p>
    <w:p w14:paraId="1D6EE288" w14:textId="5652D7B1" w:rsidR="00627143" w:rsidRDefault="003D4934" w:rsidP="00B8427D">
      <w:r w:rsidRPr="001A48C8">
        <w:t xml:space="preserve">For FY </w:t>
      </w:r>
      <w:r w:rsidR="002220DD" w:rsidRPr="001A48C8">
        <w:t>20</w:t>
      </w:r>
      <w:r w:rsidR="002220DD">
        <w:t>21</w:t>
      </w:r>
      <w:r w:rsidRPr="001A48C8">
        <w:t>/</w:t>
      </w:r>
      <w:r w:rsidR="002220DD" w:rsidRPr="001A48C8">
        <w:t>202</w:t>
      </w:r>
      <w:r w:rsidR="002220DD">
        <w:t>2</w:t>
      </w:r>
      <w:r w:rsidRPr="001A48C8">
        <w:t xml:space="preserve">, the </w:t>
      </w:r>
      <w:r w:rsidR="00C45C1A" w:rsidRPr="001A48C8">
        <w:t>C</w:t>
      </w:r>
      <w:r w:rsidRPr="001A48C8">
        <w:t>ommittee has two Co-Chair</w:t>
      </w:r>
      <w:r w:rsidR="00F522D3">
        <w:t>s</w:t>
      </w:r>
      <w:r w:rsidR="000E4EAF">
        <w:t>;</w:t>
      </w:r>
      <w:r w:rsidRPr="001A48C8">
        <w:t xml:space="preserve"> </w:t>
      </w:r>
      <w:r w:rsidR="002220DD">
        <w:t xml:space="preserve">up to 16 </w:t>
      </w:r>
      <w:r w:rsidR="00D34464">
        <w:t>EMC members</w:t>
      </w:r>
      <w:r w:rsidR="000E4EAF">
        <w:t>,</w:t>
      </w:r>
      <w:r w:rsidR="00D34464">
        <w:t xml:space="preserve"> including eight </w:t>
      </w:r>
      <w:r w:rsidR="000E4EAF">
        <w:t xml:space="preserve">agency </w:t>
      </w:r>
      <w:r w:rsidR="00D34464">
        <w:t xml:space="preserve">representatives and seven </w:t>
      </w:r>
      <w:r w:rsidR="000E4EAF">
        <w:t xml:space="preserve">monitoring community </w:t>
      </w:r>
      <w:r w:rsidR="00D34464">
        <w:t>members</w:t>
      </w:r>
      <w:r w:rsidR="002220DD">
        <w:t xml:space="preserve"> (two seats were vacated during 2021</w:t>
      </w:r>
      <w:r w:rsidR="000333B1">
        <w:t xml:space="preserve"> and remain open</w:t>
      </w:r>
      <w:r w:rsidR="002220DD">
        <w:t>)</w:t>
      </w:r>
      <w:r w:rsidR="000E4EAF">
        <w:t xml:space="preserve">; </w:t>
      </w:r>
      <w:r w:rsidRPr="001A48C8">
        <w:t xml:space="preserve">and </w:t>
      </w:r>
      <w:r w:rsidR="002220DD">
        <w:t xml:space="preserve">five </w:t>
      </w:r>
      <w:r w:rsidR="002220DD" w:rsidRPr="001A48C8">
        <w:t xml:space="preserve"> </w:t>
      </w:r>
      <w:r w:rsidRPr="001A48C8">
        <w:t>support staff</w:t>
      </w:r>
      <w:r w:rsidR="00F522D3">
        <w:t xml:space="preserve"> positions</w:t>
      </w:r>
      <w:r w:rsidR="002220DD">
        <w:t xml:space="preserve"> (one seat was vacated in 2021, but filled within two months)</w:t>
      </w:r>
      <w:r w:rsidRPr="001A48C8">
        <w:t>.</w:t>
      </w:r>
    </w:p>
    <w:p w14:paraId="58DFEB16" w14:textId="1CCC7D3F" w:rsidR="0020152D" w:rsidRPr="000333B1" w:rsidRDefault="0020152D" w:rsidP="00B8427D">
      <w:pPr>
        <w:pStyle w:val="Caption"/>
        <w:keepNext/>
        <w:spacing w:after="60"/>
        <w:ind w:left="-270" w:firstLine="270"/>
        <w:rPr>
          <w:b/>
          <w:bCs/>
        </w:rPr>
      </w:pPr>
      <w:r w:rsidRPr="000333B1">
        <w:rPr>
          <w:b/>
          <w:bCs/>
        </w:rPr>
        <w:t xml:space="preserve">Table </w:t>
      </w:r>
      <w:r w:rsidRPr="000333B1">
        <w:rPr>
          <w:b/>
          <w:bCs/>
        </w:rPr>
        <w:fldChar w:fldCharType="begin"/>
      </w:r>
      <w:r w:rsidRPr="000333B1">
        <w:rPr>
          <w:b/>
          <w:bCs/>
        </w:rPr>
        <w:instrText xml:space="preserve"> SEQ Table \* ARABIC </w:instrText>
      </w:r>
      <w:r w:rsidRPr="000333B1">
        <w:rPr>
          <w:b/>
          <w:bCs/>
        </w:rPr>
        <w:fldChar w:fldCharType="separate"/>
      </w:r>
      <w:r w:rsidRPr="000333B1">
        <w:rPr>
          <w:b/>
          <w:bCs/>
          <w:noProof/>
        </w:rPr>
        <w:t>2</w:t>
      </w:r>
      <w:r w:rsidRPr="000333B1">
        <w:rPr>
          <w:b/>
          <w:bCs/>
        </w:rPr>
        <w:fldChar w:fldCharType="end"/>
      </w:r>
      <w:r w:rsidRPr="000333B1">
        <w:rPr>
          <w:b/>
          <w:bCs/>
        </w:rPr>
        <w:t>. Current EMC Membership and Support Staff</w:t>
      </w: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Description w:val="EMC membership and staff"/>
      </w:tblPr>
      <w:tblGrid>
        <w:gridCol w:w="2515"/>
        <w:gridCol w:w="2609"/>
        <w:gridCol w:w="2429"/>
        <w:gridCol w:w="1719"/>
      </w:tblGrid>
      <w:tr w:rsidR="008921D3" w:rsidRPr="00CD56DC" w14:paraId="4869F09D" w14:textId="77777777" w:rsidTr="000333B1">
        <w:trPr>
          <w:tblHeader/>
          <w:jc w:val="center"/>
        </w:trPr>
        <w:tc>
          <w:tcPr>
            <w:tcW w:w="1356" w:type="pct"/>
            <w:tcBorders>
              <w:top w:val="single" w:sz="4" w:space="0" w:color="auto"/>
              <w:left w:val="single" w:sz="4" w:space="0" w:color="auto"/>
              <w:bottom w:val="single" w:sz="4" w:space="0" w:color="auto"/>
              <w:right w:val="single" w:sz="4" w:space="0" w:color="auto"/>
            </w:tcBorders>
            <w:shd w:val="clear" w:color="auto" w:fill="D0CECE"/>
            <w:vAlign w:val="center"/>
            <w:hideMark/>
          </w:tcPr>
          <w:p w14:paraId="6CD94834" w14:textId="77777777" w:rsidR="00627143" w:rsidRPr="000333B1" w:rsidRDefault="00627143" w:rsidP="00B8427D">
            <w:pPr>
              <w:spacing w:after="60"/>
              <w:rPr>
                <w:b/>
                <w:bCs/>
              </w:rPr>
            </w:pPr>
            <w:r w:rsidRPr="000333B1">
              <w:rPr>
                <w:b/>
                <w:bCs/>
              </w:rPr>
              <w:t>Name</w:t>
            </w:r>
          </w:p>
        </w:tc>
        <w:tc>
          <w:tcPr>
            <w:tcW w:w="1407" w:type="pct"/>
            <w:tcBorders>
              <w:top w:val="single" w:sz="4" w:space="0" w:color="auto"/>
              <w:left w:val="single" w:sz="4" w:space="0" w:color="auto"/>
              <w:bottom w:val="single" w:sz="4" w:space="0" w:color="auto"/>
              <w:right w:val="single" w:sz="4" w:space="0" w:color="auto"/>
            </w:tcBorders>
            <w:shd w:val="clear" w:color="auto" w:fill="D0CECE"/>
            <w:vAlign w:val="center"/>
            <w:hideMark/>
          </w:tcPr>
          <w:p w14:paraId="66B3D26C" w14:textId="77777777" w:rsidR="00627143" w:rsidRPr="000333B1" w:rsidRDefault="00627143" w:rsidP="00B8427D">
            <w:pPr>
              <w:spacing w:after="60"/>
              <w:rPr>
                <w:b/>
                <w:bCs/>
              </w:rPr>
            </w:pPr>
            <w:r w:rsidRPr="000333B1">
              <w:rPr>
                <w:b/>
                <w:bCs/>
              </w:rPr>
              <w:t>Specialty</w:t>
            </w:r>
          </w:p>
        </w:tc>
        <w:tc>
          <w:tcPr>
            <w:tcW w:w="1310" w:type="pct"/>
            <w:tcBorders>
              <w:top w:val="single" w:sz="4" w:space="0" w:color="auto"/>
              <w:left w:val="single" w:sz="4" w:space="0" w:color="auto"/>
              <w:bottom w:val="single" w:sz="4" w:space="0" w:color="auto"/>
              <w:right w:val="single" w:sz="4" w:space="0" w:color="auto"/>
            </w:tcBorders>
            <w:shd w:val="clear" w:color="auto" w:fill="D0CECE"/>
            <w:vAlign w:val="center"/>
            <w:hideMark/>
          </w:tcPr>
          <w:p w14:paraId="1B9C69DB" w14:textId="77777777" w:rsidR="00627143" w:rsidRPr="000333B1" w:rsidRDefault="00627143" w:rsidP="00B8427D">
            <w:pPr>
              <w:spacing w:after="60"/>
              <w:rPr>
                <w:b/>
                <w:bCs/>
              </w:rPr>
            </w:pPr>
            <w:r w:rsidRPr="000333B1">
              <w:rPr>
                <w:b/>
                <w:bCs/>
              </w:rPr>
              <w:t>Affiliation</w:t>
            </w:r>
          </w:p>
        </w:tc>
        <w:tc>
          <w:tcPr>
            <w:tcW w:w="927" w:type="pct"/>
            <w:tcBorders>
              <w:top w:val="single" w:sz="4" w:space="0" w:color="auto"/>
              <w:left w:val="single" w:sz="4" w:space="0" w:color="auto"/>
              <w:bottom w:val="single" w:sz="4" w:space="0" w:color="auto"/>
              <w:right w:val="single" w:sz="4" w:space="0" w:color="auto"/>
            </w:tcBorders>
            <w:shd w:val="clear" w:color="auto" w:fill="D0CECE"/>
            <w:vAlign w:val="center"/>
          </w:tcPr>
          <w:p w14:paraId="3AB18C8E" w14:textId="2ABBF65D" w:rsidR="00627143" w:rsidRPr="000333B1" w:rsidRDefault="00627143" w:rsidP="00B8427D">
            <w:pPr>
              <w:spacing w:after="60"/>
              <w:rPr>
                <w:b/>
                <w:bCs/>
              </w:rPr>
            </w:pPr>
            <w:r w:rsidRPr="000333B1">
              <w:rPr>
                <w:b/>
                <w:bCs/>
              </w:rPr>
              <w:t>Term</w:t>
            </w:r>
            <w:r w:rsidR="00E6234E">
              <w:rPr>
                <w:b/>
                <w:bCs/>
              </w:rPr>
              <w:t xml:space="preserve"> </w:t>
            </w:r>
            <w:r w:rsidR="00104824">
              <w:rPr>
                <w:b/>
                <w:bCs/>
              </w:rPr>
              <w:t>End Date</w:t>
            </w:r>
          </w:p>
        </w:tc>
      </w:tr>
      <w:tr w:rsidR="00E80BAB" w:rsidRPr="00467F7A" w14:paraId="65E6D5F5" w14:textId="77777777" w:rsidTr="000333B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C5E0B3"/>
            <w:vAlign w:val="center"/>
            <w:hideMark/>
          </w:tcPr>
          <w:p w14:paraId="055696E1" w14:textId="3B16C069" w:rsidR="00E80BAB" w:rsidRPr="001A48C8" w:rsidRDefault="00E80BAB" w:rsidP="000333B1">
            <w:pPr>
              <w:pStyle w:val="TableHeader"/>
              <w:spacing w:after="60"/>
            </w:pPr>
            <w:r>
              <w:t>Co-Chairs</w:t>
            </w:r>
          </w:p>
        </w:tc>
      </w:tr>
      <w:tr w:rsidR="008921D3" w:rsidRPr="00A31282" w14:paraId="0B2A68B4" w14:textId="77777777" w:rsidTr="000333B1">
        <w:trPr>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19C40E" w14:textId="77777777" w:rsidR="00627143" w:rsidRPr="001A48C8" w:rsidRDefault="00627143" w:rsidP="00B8427D">
            <w:pPr>
              <w:spacing w:before="20" w:after="20"/>
            </w:pPr>
            <w:r w:rsidRPr="001A48C8">
              <w:t>Loretta Moreno</w:t>
            </w:r>
          </w:p>
        </w:tc>
        <w:tc>
          <w:tcPr>
            <w:tcW w:w="14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8333AA" w14:textId="77777777" w:rsidR="00627143" w:rsidRPr="001A48C8" w:rsidRDefault="00627143" w:rsidP="00B8427D">
            <w:pPr>
              <w:spacing w:before="20" w:after="20"/>
            </w:pPr>
            <w:r w:rsidRPr="001A48C8">
              <w:t>Co-Chair, Forest Ecology</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61CDC9" w14:textId="77777777" w:rsidR="00627143" w:rsidRPr="001A48C8" w:rsidRDefault="00627143" w:rsidP="00B8427D">
            <w:pPr>
              <w:spacing w:before="20" w:after="20"/>
            </w:pPr>
            <w:r w:rsidRPr="001A48C8">
              <w:t>California Natural Resources Agency</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14:paraId="1920675F" w14:textId="6C4B1DD7" w:rsidR="00627143" w:rsidRPr="001A48C8" w:rsidRDefault="00624654" w:rsidP="00B8427D">
            <w:pPr>
              <w:spacing w:before="20" w:after="20"/>
            </w:pPr>
            <w:r>
              <w:t>0</w:t>
            </w:r>
            <w:r w:rsidR="00627143" w:rsidRPr="001A48C8">
              <w:t>7/</w:t>
            </w:r>
            <w:r>
              <w:t>0</w:t>
            </w:r>
            <w:r w:rsidR="00627143" w:rsidRPr="001A48C8">
              <w:t>5/2023</w:t>
            </w:r>
          </w:p>
        </w:tc>
      </w:tr>
      <w:tr w:rsidR="008921D3" w:rsidRPr="00A31282" w14:paraId="2473D11C" w14:textId="77777777" w:rsidTr="000333B1">
        <w:trPr>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FF75EA" w14:textId="77777777" w:rsidR="00627143" w:rsidRPr="001A48C8" w:rsidRDefault="00627143" w:rsidP="00B8427D">
            <w:pPr>
              <w:spacing w:before="20" w:after="20"/>
            </w:pPr>
            <w:r w:rsidRPr="001A48C8">
              <w:t xml:space="preserve">Susan </w:t>
            </w:r>
            <w:proofErr w:type="spellStart"/>
            <w:r w:rsidRPr="001A48C8">
              <w:t>Husari</w:t>
            </w:r>
            <w:proofErr w:type="spellEnd"/>
          </w:p>
        </w:tc>
        <w:tc>
          <w:tcPr>
            <w:tcW w:w="14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5B7883" w14:textId="07E70922" w:rsidR="00627143" w:rsidRPr="001A48C8" w:rsidRDefault="00627143" w:rsidP="00B8427D">
            <w:pPr>
              <w:spacing w:before="20" w:after="20"/>
            </w:pPr>
            <w:r w:rsidRPr="001A48C8">
              <w:t>Co-Chair, Forestry</w:t>
            </w:r>
            <w:r w:rsidR="00E6234E">
              <w:t xml:space="preserve"> and </w:t>
            </w:r>
            <w:r w:rsidRPr="001A48C8">
              <w:t>Fire Management</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2AFFA5" w14:textId="77777777" w:rsidR="00627143" w:rsidRPr="001A48C8" w:rsidRDefault="00627143" w:rsidP="00B8427D">
            <w:pPr>
              <w:spacing w:before="20" w:after="20"/>
            </w:pPr>
            <w:r w:rsidRPr="001A48C8">
              <w:t>Board of Forestry and Fire Protection</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14:paraId="1B9E56C7" w14:textId="18C4A357" w:rsidR="00627143" w:rsidRPr="001A48C8" w:rsidRDefault="00627143" w:rsidP="00B8427D">
            <w:pPr>
              <w:spacing w:before="20" w:after="20"/>
            </w:pPr>
            <w:r w:rsidRPr="001A48C8">
              <w:t>11/</w:t>
            </w:r>
            <w:r w:rsidR="00624654">
              <w:t>0</w:t>
            </w:r>
            <w:r w:rsidRPr="001A48C8">
              <w:t>6/2023</w:t>
            </w:r>
          </w:p>
        </w:tc>
      </w:tr>
      <w:tr w:rsidR="00627143" w:rsidRPr="00467F7A" w14:paraId="3748EA5E" w14:textId="77777777" w:rsidTr="000333B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C5E0B3"/>
            <w:vAlign w:val="center"/>
            <w:hideMark/>
          </w:tcPr>
          <w:p w14:paraId="2442F1F4" w14:textId="77777777" w:rsidR="00627143" w:rsidRPr="001A48C8" w:rsidRDefault="00627143" w:rsidP="000333B1">
            <w:pPr>
              <w:pStyle w:val="TableHeader"/>
              <w:spacing w:after="60"/>
            </w:pPr>
            <w:r w:rsidRPr="001A48C8">
              <w:t>Monitoring Community</w:t>
            </w:r>
          </w:p>
        </w:tc>
      </w:tr>
      <w:tr w:rsidR="008921D3" w:rsidRPr="00A31282" w14:paraId="17CC218C" w14:textId="77777777" w:rsidTr="000333B1">
        <w:trPr>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561A6138" w14:textId="77777777" w:rsidR="00626194" w:rsidRPr="00043B3A" w:rsidRDefault="00626194" w:rsidP="00B8427D">
            <w:pPr>
              <w:spacing w:before="20" w:after="20"/>
              <w:rPr>
                <w:b/>
                <w:bCs/>
                <w:i/>
                <w:iCs/>
              </w:rPr>
            </w:pPr>
            <w:r w:rsidRPr="00043B3A">
              <w:rPr>
                <w:b/>
                <w:bCs/>
                <w:i/>
                <w:iCs/>
              </w:rPr>
              <w:t>OPEN SEAT</w:t>
            </w:r>
          </w:p>
          <w:p w14:paraId="0353F1FE" w14:textId="77777777" w:rsidR="00627143" w:rsidRPr="001A48C8" w:rsidRDefault="00627143" w:rsidP="00B8427D">
            <w:pPr>
              <w:spacing w:before="20" w:after="20"/>
            </w:pPr>
            <w:r w:rsidRPr="001A48C8">
              <w:t>Greg Giusti</w:t>
            </w:r>
          </w:p>
        </w:tc>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14:paraId="46774895" w14:textId="45560B6F" w:rsidR="00627143" w:rsidRPr="001A48C8" w:rsidRDefault="00627143" w:rsidP="00B8427D">
            <w:pPr>
              <w:spacing w:before="20" w:after="20"/>
            </w:pPr>
            <w:r w:rsidRPr="001A48C8">
              <w:t>Forestry, R</w:t>
            </w:r>
            <w:r w:rsidR="00624654">
              <w:t>egistered Professional Forester</w:t>
            </w:r>
            <w:r w:rsidR="008921D3">
              <w:t xml:space="preserve"> (RPF)</w:t>
            </w:r>
            <w:r w:rsidR="00624654">
              <w:t xml:space="preserve"> </w:t>
            </w:r>
            <w:r w:rsidRPr="001A48C8">
              <w:t>2709</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69285585" w14:textId="6FE12D65" w:rsidR="00627143" w:rsidRPr="001A48C8" w:rsidRDefault="00627143" w:rsidP="00B8427D">
            <w:pPr>
              <w:spacing w:before="20" w:after="20"/>
            </w:pPr>
            <w:r w:rsidRPr="001A48C8">
              <w:t>University of California Cooperative Extension Advisor Emeritus</w:t>
            </w:r>
            <w:r w:rsidR="00626194">
              <w:t xml:space="preserve"> </w:t>
            </w:r>
            <w:r w:rsidRPr="001A48C8">
              <w:t>-</w:t>
            </w:r>
            <w:r w:rsidR="00626194">
              <w:t xml:space="preserve"> </w:t>
            </w:r>
            <w:r w:rsidRPr="001A48C8">
              <w:t>Lake and Mendocino counties</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14:paraId="4B65B48B" w14:textId="01F61283" w:rsidR="00627143" w:rsidRPr="001A48C8" w:rsidRDefault="00624654" w:rsidP="00B8427D">
            <w:pPr>
              <w:spacing w:before="20" w:after="20"/>
            </w:pPr>
            <w:r>
              <w:t>Vacated 0</w:t>
            </w:r>
            <w:r w:rsidR="00627143" w:rsidRPr="001A48C8">
              <w:t>7/</w:t>
            </w:r>
            <w:r>
              <w:t>0</w:t>
            </w:r>
            <w:r w:rsidR="00627143" w:rsidRPr="001A48C8">
              <w:t>1/2021</w:t>
            </w:r>
          </w:p>
        </w:tc>
      </w:tr>
      <w:tr w:rsidR="008921D3" w:rsidRPr="00A31282" w14:paraId="784E0492" w14:textId="77777777" w:rsidTr="000333B1">
        <w:trPr>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2FC4AA" w14:textId="77777777" w:rsidR="00627143" w:rsidRPr="001A48C8" w:rsidRDefault="00627143" w:rsidP="00B8427D">
            <w:pPr>
              <w:spacing w:before="20" w:after="20"/>
            </w:pPr>
            <w:r w:rsidRPr="001A48C8">
              <w:lastRenderedPageBreak/>
              <w:t>Matt House</w:t>
            </w:r>
          </w:p>
        </w:tc>
        <w:tc>
          <w:tcPr>
            <w:tcW w:w="14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86833" w14:textId="11017001" w:rsidR="00627143" w:rsidRPr="001A48C8" w:rsidRDefault="00627143" w:rsidP="00B8427D">
            <w:pPr>
              <w:spacing w:before="20" w:after="20"/>
            </w:pPr>
            <w:r w:rsidRPr="001A48C8">
              <w:t>Hydrology</w:t>
            </w:r>
            <w:r w:rsidR="00624654">
              <w:t xml:space="preserve"> and </w:t>
            </w:r>
            <w:r w:rsidRPr="001A48C8">
              <w:t>Fisheries</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E26070" w14:textId="77777777" w:rsidR="00627143" w:rsidRPr="001A48C8" w:rsidRDefault="00627143" w:rsidP="00B8427D">
            <w:pPr>
              <w:spacing w:before="20" w:after="20"/>
            </w:pPr>
            <w:r w:rsidRPr="001A48C8">
              <w:t>Green Diamond Resource Company</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14:paraId="709AA8E3" w14:textId="5830D2ED" w:rsidR="00627143" w:rsidRPr="001A48C8" w:rsidRDefault="00624654" w:rsidP="00B8427D">
            <w:pPr>
              <w:spacing w:before="20" w:after="20"/>
            </w:pPr>
            <w:r>
              <w:t>0</w:t>
            </w:r>
            <w:r w:rsidR="00627143" w:rsidRPr="001A48C8">
              <w:t>8/31/202</w:t>
            </w:r>
            <w:r w:rsidR="00AB3454">
              <w:t>4</w:t>
            </w:r>
          </w:p>
        </w:tc>
      </w:tr>
      <w:tr w:rsidR="008921D3" w:rsidRPr="00A31282" w14:paraId="14EE30FE" w14:textId="77777777" w:rsidTr="000333B1">
        <w:trPr>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125BD5" w14:textId="77777777" w:rsidR="00627143" w:rsidRPr="001A48C8" w:rsidRDefault="00627143" w:rsidP="00B8427D">
            <w:pPr>
              <w:spacing w:before="20" w:after="20"/>
            </w:pPr>
            <w:r w:rsidRPr="001A48C8">
              <w:t>Sal Chinnici</w:t>
            </w:r>
          </w:p>
        </w:tc>
        <w:tc>
          <w:tcPr>
            <w:tcW w:w="14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59F1E4" w14:textId="77777777" w:rsidR="00627143" w:rsidRPr="001A48C8" w:rsidRDefault="00627143" w:rsidP="00B8427D">
            <w:pPr>
              <w:spacing w:before="20" w:after="20"/>
            </w:pPr>
            <w:r w:rsidRPr="001A48C8">
              <w:t>Wildlife</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A186CE" w14:textId="64B8FB05" w:rsidR="00627143" w:rsidRPr="001A48C8" w:rsidRDefault="008253ED" w:rsidP="00B8427D">
            <w:pPr>
              <w:spacing w:before="20" w:after="20"/>
            </w:pPr>
            <w:r w:rsidRPr="000E4EAF">
              <w:t>Humboldt and Mendocino Redwood Companies</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14:paraId="57BD518B" w14:textId="230352F0" w:rsidR="00627143" w:rsidRPr="001A48C8" w:rsidRDefault="00624654" w:rsidP="00B8427D">
            <w:pPr>
              <w:spacing w:before="20" w:after="20"/>
            </w:pPr>
            <w:r>
              <w:t>0</w:t>
            </w:r>
            <w:r w:rsidR="00627143" w:rsidRPr="001A48C8">
              <w:t>7/</w:t>
            </w:r>
            <w:r>
              <w:t>0</w:t>
            </w:r>
            <w:r w:rsidR="00627143" w:rsidRPr="001A48C8">
              <w:t>1/202</w:t>
            </w:r>
            <w:r w:rsidR="00AB3454">
              <w:t>4</w:t>
            </w:r>
          </w:p>
        </w:tc>
      </w:tr>
      <w:tr w:rsidR="008921D3" w:rsidRPr="00A31282" w14:paraId="3FC3F395" w14:textId="77777777" w:rsidTr="000333B1">
        <w:trPr>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DA3E8B" w14:textId="77777777" w:rsidR="00627143" w:rsidRPr="001A48C8" w:rsidRDefault="00627143" w:rsidP="00B8427D">
            <w:pPr>
              <w:spacing w:before="20" w:after="20"/>
            </w:pPr>
            <w:r w:rsidRPr="001A48C8">
              <w:t>Matt O’Connor, Ph.D.</w:t>
            </w:r>
          </w:p>
        </w:tc>
        <w:tc>
          <w:tcPr>
            <w:tcW w:w="14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9E0BCD" w14:textId="7F327F32" w:rsidR="00627143" w:rsidRPr="001A48C8" w:rsidRDefault="00627143" w:rsidP="00B8427D">
            <w:pPr>
              <w:spacing w:before="20" w:after="20"/>
            </w:pPr>
            <w:r w:rsidRPr="001A48C8">
              <w:t>Geology</w:t>
            </w:r>
            <w:r w:rsidR="00624654">
              <w:t xml:space="preserve"> and </w:t>
            </w:r>
            <w:r w:rsidRPr="001A48C8">
              <w:t>Geomorphology</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377EE2" w14:textId="77777777" w:rsidR="00627143" w:rsidRPr="001A48C8" w:rsidRDefault="00627143" w:rsidP="00B8427D">
            <w:pPr>
              <w:spacing w:before="20" w:after="20"/>
            </w:pPr>
            <w:r w:rsidRPr="001A48C8">
              <w:t>Public</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14:paraId="250B5B8D" w14:textId="51919661" w:rsidR="00627143" w:rsidRPr="001A48C8" w:rsidRDefault="00627143" w:rsidP="00B8427D">
            <w:pPr>
              <w:spacing w:before="20" w:after="20"/>
            </w:pPr>
            <w:r w:rsidRPr="001A48C8">
              <w:t>11/</w:t>
            </w:r>
            <w:r w:rsidR="00624654">
              <w:t>0</w:t>
            </w:r>
            <w:r w:rsidRPr="001A48C8">
              <w:t>6/2023</w:t>
            </w:r>
          </w:p>
        </w:tc>
      </w:tr>
      <w:tr w:rsidR="008921D3" w:rsidRPr="00A31282" w14:paraId="6C469DE2" w14:textId="77777777" w:rsidTr="000333B1">
        <w:trPr>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3C9DF44D" w14:textId="77777777" w:rsidR="00626194" w:rsidRPr="000333B1" w:rsidRDefault="00626194" w:rsidP="00B8427D">
            <w:pPr>
              <w:spacing w:before="20" w:after="20"/>
              <w:rPr>
                <w:b/>
                <w:bCs/>
                <w:i/>
                <w:iCs/>
              </w:rPr>
            </w:pPr>
            <w:r w:rsidRPr="000333B1">
              <w:rPr>
                <w:b/>
                <w:bCs/>
                <w:i/>
                <w:iCs/>
              </w:rPr>
              <w:t>OPEN SEAT</w:t>
            </w:r>
          </w:p>
          <w:p w14:paraId="5B648048" w14:textId="132CE6C6" w:rsidR="00627143" w:rsidRPr="001A48C8" w:rsidRDefault="00627143" w:rsidP="00B8427D">
            <w:pPr>
              <w:spacing w:before="20" w:after="20"/>
            </w:pPr>
            <w:r w:rsidRPr="001A48C8">
              <w:t>Sarah Bisbing, Ph.D.</w:t>
            </w:r>
          </w:p>
        </w:tc>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14:paraId="399A2C3D" w14:textId="4F46A124" w:rsidR="00627143" w:rsidRPr="001A48C8" w:rsidRDefault="00627143" w:rsidP="00B8427D">
            <w:pPr>
              <w:spacing w:before="20" w:after="20"/>
            </w:pPr>
            <w:r w:rsidRPr="001A48C8">
              <w:t>Forest Ecology</w:t>
            </w:r>
            <w:r w:rsidR="00624654">
              <w:t xml:space="preserve"> and </w:t>
            </w:r>
            <w:r w:rsidRPr="001A48C8">
              <w:t>Forestry</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6A9FF115" w14:textId="63A0C535" w:rsidR="00627143" w:rsidRPr="001A48C8" w:rsidRDefault="00627143" w:rsidP="00B8427D">
            <w:pPr>
              <w:spacing w:before="20" w:after="20"/>
            </w:pPr>
            <w:r w:rsidRPr="001A48C8">
              <w:t>Academic</w:t>
            </w:r>
            <w:r w:rsidR="000333B1">
              <w:t xml:space="preserve">, </w:t>
            </w:r>
            <w:r w:rsidRPr="001A48C8">
              <w:t>University of Nevada, Reno</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14:paraId="14F09311" w14:textId="5AC85855" w:rsidR="00627143" w:rsidRPr="001A48C8" w:rsidRDefault="00624654" w:rsidP="00B8427D">
            <w:pPr>
              <w:spacing w:before="20" w:after="20"/>
            </w:pPr>
            <w:r>
              <w:t>Resigned 09</w:t>
            </w:r>
            <w:r w:rsidR="00627143" w:rsidRPr="001A48C8">
              <w:t>/</w:t>
            </w:r>
            <w:r>
              <w:t>08</w:t>
            </w:r>
            <w:r w:rsidR="00627143" w:rsidRPr="001A48C8">
              <w:t>/</w:t>
            </w:r>
            <w:r w:rsidRPr="001A48C8">
              <w:t>202</w:t>
            </w:r>
            <w:r>
              <w:t>1</w:t>
            </w:r>
          </w:p>
        </w:tc>
      </w:tr>
      <w:tr w:rsidR="001413B7" w:rsidRPr="00A31282" w14:paraId="047F07A7" w14:textId="77777777" w:rsidTr="000333B1">
        <w:trPr>
          <w:trHeight w:val="602"/>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23D578" w14:textId="264BEC5A" w:rsidR="00627143" w:rsidRPr="001A48C8" w:rsidRDefault="00627143" w:rsidP="00B8427D">
            <w:pPr>
              <w:spacing w:before="20" w:after="20"/>
            </w:pPr>
            <w:r w:rsidRPr="001A48C8">
              <w:t xml:space="preserve">Leander </w:t>
            </w:r>
            <w:r w:rsidR="00626194">
              <w:t>Love-</w:t>
            </w:r>
            <w:proofErr w:type="spellStart"/>
            <w:r w:rsidRPr="001A48C8">
              <w:t>Anderegg</w:t>
            </w:r>
            <w:proofErr w:type="spellEnd"/>
            <w:r w:rsidRPr="001A48C8">
              <w:t>, Ph.D.</w:t>
            </w:r>
          </w:p>
        </w:tc>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14:paraId="35C14BDD" w14:textId="196CE9F7" w:rsidR="00627143" w:rsidRPr="001A48C8" w:rsidRDefault="00624654" w:rsidP="00B8427D">
            <w:pPr>
              <w:spacing w:before="20" w:after="20"/>
            </w:pPr>
            <w:r w:rsidRPr="001A48C8">
              <w:t>Forest Ecology</w:t>
            </w:r>
            <w:r>
              <w:t xml:space="preserve"> and </w:t>
            </w:r>
            <w:r w:rsidRPr="001A48C8">
              <w:t>Forestry</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882D15" w14:textId="0258655A" w:rsidR="00627143" w:rsidRPr="001A48C8" w:rsidRDefault="00627143" w:rsidP="00B8427D">
            <w:pPr>
              <w:spacing w:before="20" w:after="20"/>
            </w:pPr>
            <w:r w:rsidRPr="001A48C8">
              <w:t>Academic</w:t>
            </w:r>
            <w:r w:rsidR="000333B1">
              <w:t xml:space="preserve">, </w:t>
            </w:r>
            <w:r w:rsidRPr="001A48C8">
              <w:t>University of California, Berkeley</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14:paraId="2A3669A1" w14:textId="3EFF87AF" w:rsidR="00627143" w:rsidRPr="001A48C8" w:rsidRDefault="00624654" w:rsidP="00B8427D">
            <w:pPr>
              <w:spacing w:before="20" w:after="20"/>
            </w:pPr>
            <w:r>
              <w:t>0</w:t>
            </w:r>
            <w:r w:rsidR="00627143" w:rsidRPr="001A48C8">
              <w:t>7/</w:t>
            </w:r>
            <w:r>
              <w:t>0</w:t>
            </w:r>
            <w:r w:rsidR="00627143" w:rsidRPr="001A48C8">
              <w:t>5/2023</w:t>
            </w:r>
          </w:p>
        </w:tc>
      </w:tr>
      <w:tr w:rsidR="001413B7" w:rsidRPr="00A31282" w14:paraId="22EB0F69" w14:textId="77777777" w:rsidTr="000333B1">
        <w:trPr>
          <w:trHeight w:val="71"/>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1855540F" w14:textId="77777777" w:rsidR="00627143" w:rsidRPr="001A48C8" w:rsidRDefault="00627143" w:rsidP="00B8427D">
            <w:pPr>
              <w:spacing w:before="20" w:after="20"/>
            </w:pPr>
            <w:r w:rsidRPr="001A48C8">
              <w:t>Peter Freer-Smith, Ph.D.</w:t>
            </w:r>
          </w:p>
        </w:tc>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14:paraId="1C867461" w14:textId="77777777" w:rsidR="00627143" w:rsidRPr="001A48C8" w:rsidRDefault="00627143" w:rsidP="00B8427D">
            <w:pPr>
              <w:spacing w:before="20" w:after="20"/>
            </w:pPr>
            <w:r w:rsidRPr="001A48C8">
              <w:t>Plant Ecology and Environmental Policy</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6D2B782A" w14:textId="1434DF27" w:rsidR="00627143" w:rsidRPr="001A48C8" w:rsidRDefault="00627143" w:rsidP="00B8427D">
            <w:pPr>
              <w:spacing w:before="20" w:after="20"/>
            </w:pPr>
            <w:r w:rsidRPr="001A48C8">
              <w:t>Academic</w:t>
            </w:r>
            <w:r w:rsidR="000333B1">
              <w:t xml:space="preserve">, </w:t>
            </w:r>
            <w:r w:rsidRPr="001A48C8">
              <w:t>University of California, Davis</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14:paraId="37ADD5AD" w14:textId="1D2D0602" w:rsidR="00627143" w:rsidRPr="001A48C8" w:rsidRDefault="00624654" w:rsidP="00B8427D">
            <w:pPr>
              <w:spacing w:before="20" w:after="20"/>
            </w:pPr>
            <w:r>
              <w:t>0</w:t>
            </w:r>
            <w:r w:rsidR="00627143" w:rsidRPr="001A48C8">
              <w:t>7/</w:t>
            </w:r>
            <w:r>
              <w:t>0</w:t>
            </w:r>
            <w:r w:rsidR="00627143" w:rsidRPr="001A48C8">
              <w:t>5/2023</w:t>
            </w:r>
          </w:p>
        </w:tc>
      </w:tr>
      <w:tr w:rsidR="00624654" w:rsidRPr="00467F7A" w14:paraId="5565256F" w14:textId="77777777" w:rsidTr="000333B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C5E0B3"/>
            <w:vAlign w:val="center"/>
            <w:hideMark/>
          </w:tcPr>
          <w:p w14:paraId="755EEADD" w14:textId="77777777" w:rsidR="00624654" w:rsidRPr="001A48C8" w:rsidRDefault="00624654" w:rsidP="000333B1">
            <w:pPr>
              <w:pStyle w:val="TableHeader"/>
              <w:spacing w:after="60"/>
            </w:pPr>
            <w:r w:rsidRPr="001A48C8">
              <w:t>Agency Representatives</w:t>
            </w:r>
          </w:p>
        </w:tc>
      </w:tr>
      <w:tr w:rsidR="001413B7" w:rsidRPr="00A31282" w14:paraId="32CAEC13" w14:textId="77777777" w:rsidTr="000333B1">
        <w:trPr>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59E4A0" w14:textId="77777777" w:rsidR="00624654" w:rsidRPr="001A48C8" w:rsidRDefault="00624654" w:rsidP="00B8427D">
            <w:pPr>
              <w:spacing w:before="20" w:after="20"/>
            </w:pPr>
            <w:r w:rsidRPr="001A48C8">
              <w:t>Stacy Drury, Ph.D.</w:t>
            </w:r>
          </w:p>
        </w:tc>
        <w:tc>
          <w:tcPr>
            <w:tcW w:w="14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A484AD" w14:textId="77777777" w:rsidR="00624654" w:rsidRPr="001A48C8" w:rsidRDefault="00624654" w:rsidP="00B8427D">
            <w:pPr>
              <w:spacing w:before="20" w:after="20"/>
            </w:pPr>
            <w:r w:rsidRPr="001A48C8">
              <w:t>Fire Ecology</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829D50" w14:textId="77777777" w:rsidR="00624654" w:rsidRPr="001A48C8" w:rsidRDefault="00624654" w:rsidP="00B8427D">
            <w:pPr>
              <w:spacing w:before="20" w:after="20"/>
            </w:pPr>
            <w:r w:rsidRPr="001A48C8">
              <w:t>USDA Forest Service Pacific Southwest Research Station</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14:paraId="46D9F64E" w14:textId="77777777" w:rsidR="00624654" w:rsidRPr="001A48C8" w:rsidRDefault="00624654" w:rsidP="00B8427D">
            <w:pPr>
              <w:spacing w:before="20" w:after="20"/>
            </w:pPr>
            <w:r w:rsidRPr="001A48C8">
              <w:t>n/a</w:t>
            </w:r>
          </w:p>
        </w:tc>
      </w:tr>
      <w:tr w:rsidR="008921D3" w:rsidRPr="00A31282" w14:paraId="561189E0" w14:textId="77777777" w:rsidTr="000333B1">
        <w:trPr>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E3BC88" w14:textId="47E05BDF" w:rsidR="00624654" w:rsidRDefault="00624654" w:rsidP="004A47F3">
            <w:pPr>
              <w:spacing w:before="20" w:after="20"/>
            </w:pPr>
            <w:r w:rsidRPr="001A48C8">
              <w:t xml:space="preserve">Elliot </w:t>
            </w:r>
            <w:proofErr w:type="spellStart"/>
            <w:r w:rsidRPr="001A48C8">
              <w:t>Chasin</w:t>
            </w:r>
            <w:proofErr w:type="spellEnd"/>
            <w:r w:rsidR="00626194">
              <w:t xml:space="preserve"> (to 09/</w:t>
            </w:r>
            <w:r w:rsidR="00104824">
              <w:t>21</w:t>
            </w:r>
            <w:r w:rsidR="00626194">
              <w:t>/2021)</w:t>
            </w:r>
          </w:p>
          <w:p w14:paraId="2DCF514C" w14:textId="72EADDC5" w:rsidR="00626194" w:rsidRPr="001A48C8" w:rsidRDefault="00626194" w:rsidP="004A47F3">
            <w:pPr>
              <w:spacing w:before="20" w:after="20"/>
            </w:pPr>
            <w:r>
              <w:t xml:space="preserve">Ben </w:t>
            </w:r>
            <w:proofErr w:type="spellStart"/>
            <w:r>
              <w:t>Waitman</w:t>
            </w:r>
            <w:proofErr w:type="spellEnd"/>
            <w:r>
              <w:t xml:space="preserve"> (from 09/</w:t>
            </w:r>
            <w:r w:rsidR="00104824">
              <w:t>22</w:t>
            </w:r>
            <w:r>
              <w:t>/2021)</w:t>
            </w:r>
          </w:p>
        </w:tc>
        <w:tc>
          <w:tcPr>
            <w:tcW w:w="14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6E9386" w14:textId="77777777" w:rsidR="00624654" w:rsidRPr="001A48C8" w:rsidRDefault="00624654" w:rsidP="004A47F3">
            <w:pPr>
              <w:spacing w:before="20" w:after="20"/>
            </w:pPr>
            <w:r w:rsidRPr="001A48C8">
              <w:t>Wildlife</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1E3705" w14:textId="77777777" w:rsidR="00624654" w:rsidRPr="001A48C8" w:rsidRDefault="00624654" w:rsidP="004A47F3">
            <w:pPr>
              <w:spacing w:before="20" w:after="20"/>
            </w:pPr>
            <w:r w:rsidRPr="001A48C8">
              <w:t>California Department of Fish and Wildlife</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14:paraId="6831B59F" w14:textId="77777777" w:rsidR="00624654" w:rsidRPr="001A48C8" w:rsidRDefault="00624654" w:rsidP="004A47F3">
            <w:pPr>
              <w:spacing w:before="20" w:after="20"/>
            </w:pPr>
            <w:r w:rsidRPr="001A48C8">
              <w:t>n/a</w:t>
            </w:r>
          </w:p>
        </w:tc>
      </w:tr>
      <w:tr w:rsidR="008921D3" w:rsidRPr="00A31282" w14:paraId="7F11FD68" w14:textId="77777777" w:rsidTr="000333B1">
        <w:trPr>
          <w:trHeight w:val="395"/>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E32C8A" w14:textId="77777777" w:rsidR="00624654" w:rsidRPr="001A48C8" w:rsidRDefault="00624654" w:rsidP="004A47F3">
            <w:pPr>
              <w:spacing w:before="20" w:after="20"/>
            </w:pPr>
            <w:r w:rsidRPr="001A48C8">
              <w:t>Drew Coe</w:t>
            </w:r>
          </w:p>
        </w:tc>
        <w:tc>
          <w:tcPr>
            <w:tcW w:w="14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30A5FE" w14:textId="77777777" w:rsidR="00624654" w:rsidRPr="001A48C8" w:rsidRDefault="00624654" w:rsidP="004A47F3">
            <w:pPr>
              <w:spacing w:before="20" w:after="20"/>
            </w:pPr>
            <w:r w:rsidRPr="001A48C8">
              <w:t>Hydrology/Forestry, RPF 2981</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5CBE7E" w14:textId="77777777" w:rsidR="00624654" w:rsidRPr="001A48C8" w:rsidRDefault="00624654" w:rsidP="004A47F3">
            <w:pPr>
              <w:spacing w:before="20" w:after="20"/>
            </w:pPr>
            <w:r w:rsidRPr="001A48C8">
              <w:t>CAL FIRE</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14:paraId="6504AA9C" w14:textId="77777777" w:rsidR="00624654" w:rsidRPr="001A48C8" w:rsidRDefault="00624654" w:rsidP="004A47F3">
            <w:pPr>
              <w:spacing w:before="20" w:after="20"/>
            </w:pPr>
            <w:r w:rsidRPr="001A48C8">
              <w:t>n/a</w:t>
            </w:r>
          </w:p>
        </w:tc>
      </w:tr>
      <w:tr w:rsidR="008921D3" w:rsidRPr="00A31282" w14:paraId="1EC79A22" w14:textId="77777777" w:rsidTr="000333B1">
        <w:trPr>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026A7D92" w14:textId="4D131D17" w:rsidR="00624654" w:rsidRPr="006D2455" w:rsidRDefault="00624654" w:rsidP="004A47F3">
            <w:pPr>
              <w:spacing w:before="20" w:after="20"/>
            </w:pPr>
            <w:r w:rsidRPr="006D2455">
              <w:t>Jessica Leonard</w:t>
            </w:r>
          </w:p>
        </w:tc>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14:paraId="4A600468" w14:textId="1F7EC7A8" w:rsidR="00624654" w:rsidRPr="001A48C8" w:rsidRDefault="00624654" w:rsidP="004A47F3">
            <w:pPr>
              <w:spacing w:before="20" w:after="20"/>
            </w:pPr>
            <w:r>
              <w:t>Watershed Management</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6095F6BA" w14:textId="77777777" w:rsidR="00624654" w:rsidRPr="001A48C8" w:rsidRDefault="00624654" w:rsidP="004A47F3">
            <w:pPr>
              <w:spacing w:before="20" w:after="20"/>
            </w:pPr>
            <w:r w:rsidRPr="001A48C8">
              <w:t>State Water Resources Control Board</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14:paraId="74273275" w14:textId="77777777" w:rsidR="00624654" w:rsidRPr="001A48C8" w:rsidRDefault="00624654" w:rsidP="004A47F3">
            <w:pPr>
              <w:spacing w:before="20" w:after="20"/>
            </w:pPr>
            <w:r w:rsidRPr="001A48C8">
              <w:t>n/a</w:t>
            </w:r>
          </w:p>
        </w:tc>
      </w:tr>
      <w:tr w:rsidR="008921D3" w:rsidRPr="00A31282" w14:paraId="331A70A1" w14:textId="77777777" w:rsidTr="000333B1">
        <w:trPr>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70C5EB" w14:textId="77777777" w:rsidR="00624654" w:rsidRPr="001A48C8" w:rsidRDefault="00624654" w:rsidP="004A47F3">
            <w:pPr>
              <w:spacing w:before="20" w:after="20"/>
            </w:pPr>
            <w:r w:rsidRPr="001A48C8">
              <w:t xml:space="preserve">Justin </w:t>
            </w:r>
            <w:proofErr w:type="spellStart"/>
            <w:r w:rsidRPr="001A48C8">
              <w:t>LaNier</w:t>
            </w:r>
            <w:proofErr w:type="spellEnd"/>
          </w:p>
        </w:tc>
        <w:tc>
          <w:tcPr>
            <w:tcW w:w="14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65B1B9" w14:textId="65AE93D8" w:rsidR="00624654" w:rsidRPr="001A48C8" w:rsidRDefault="00624654" w:rsidP="004A47F3">
            <w:pPr>
              <w:spacing w:before="20" w:after="20"/>
            </w:pPr>
            <w:r w:rsidRPr="001A48C8">
              <w:t>Geology</w:t>
            </w:r>
            <w:r w:rsidR="001413B7">
              <w:t xml:space="preserve">, </w:t>
            </w:r>
            <w:r w:rsidRPr="001A48C8">
              <w:t>Hydrology</w:t>
            </w:r>
            <w:r w:rsidR="001413B7">
              <w:t xml:space="preserve">, and </w:t>
            </w:r>
            <w:r w:rsidRPr="001A48C8">
              <w:t>Water Quality</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5FC884" w14:textId="77777777" w:rsidR="00624654" w:rsidRPr="001A48C8" w:rsidRDefault="00624654" w:rsidP="004A47F3">
            <w:pPr>
              <w:spacing w:before="20" w:after="20"/>
            </w:pPr>
            <w:r w:rsidRPr="001A48C8">
              <w:t>Central Valley Regional Water Quality Control Board</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14:paraId="489C66A4" w14:textId="77777777" w:rsidR="00624654" w:rsidRPr="001A48C8" w:rsidRDefault="00624654" w:rsidP="004A47F3">
            <w:pPr>
              <w:spacing w:before="20" w:after="20"/>
            </w:pPr>
            <w:r w:rsidRPr="001A48C8">
              <w:t>n/a</w:t>
            </w:r>
          </w:p>
        </w:tc>
      </w:tr>
      <w:tr w:rsidR="008921D3" w:rsidRPr="00A31282" w14:paraId="73B72888" w14:textId="77777777" w:rsidTr="000333B1">
        <w:trPr>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F9C2B" w14:textId="77777777" w:rsidR="00624654" w:rsidRPr="001A48C8" w:rsidRDefault="00624654" w:rsidP="004A47F3">
            <w:pPr>
              <w:spacing w:before="20" w:after="20"/>
            </w:pPr>
            <w:r w:rsidRPr="001A48C8">
              <w:t>Clarence Hostler</w:t>
            </w:r>
          </w:p>
        </w:tc>
        <w:tc>
          <w:tcPr>
            <w:tcW w:w="14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F6E2A2" w14:textId="77777777" w:rsidR="00624654" w:rsidRPr="001A48C8" w:rsidRDefault="00624654" w:rsidP="004A47F3">
            <w:pPr>
              <w:spacing w:before="20" w:after="20"/>
            </w:pPr>
            <w:r w:rsidRPr="001A48C8">
              <w:t>Fisheries</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611F7D" w14:textId="756A9F9B" w:rsidR="00624654" w:rsidRPr="001A48C8" w:rsidRDefault="00624654" w:rsidP="004A47F3">
            <w:pPr>
              <w:spacing w:before="20" w:after="20"/>
            </w:pPr>
            <w:r w:rsidRPr="001A48C8">
              <w:t>N</w:t>
            </w:r>
            <w:r w:rsidR="000333B1">
              <w:t xml:space="preserve">ational </w:t>
            </w:r>
            <w:r w:rsidRPr="001A48C8">
              <w:t>O</w:t>
            </w:r>
            <w:r w:rsidR="000333B1">
              <w:t xml:space="preserve">ceanic &amp; </w:t>
            </w:r>
            <w:r w:rsidRPr="001A48C8">
              <w:t>A</w:t>
            </w:r>
            <w:r w:rsidR="000333B1">
              <w:t xml:space="preserve">tmospheric Administration </w:t>
            </w:r>
            <w:r w:rsidRPr="001A48C8">
              <w:t>National Marine Fisheries Service</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14:paraId="7101F8EA" w14:textId="77777777" w:rsidR="00624654" w:rsidRPr="001A48C8" w:rsidRDefault="00624654" w:rsidP="004A47F3">
            <w:pPr>
              <w:spacing w:before="20" w:after="20"/>
            </w:pPr>
            <w:r w:rsidRPr="001A48C8">
              <w:t>n/a</w:t>
            </w:r>
          </w:p>
        </w:tc>
      </w:tr>
      <w:tr w:rsidR="008921D3" w:rsidRPr="00A31282" w14:paraId="3DDA68DB" w14:textId="77777777" w:rsidTr="000333B1">
        <w:trPr>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9AEF9A" w14:textId="77777777" w:rsidR="00624654" w:rsidRPr="001A48C8" w:rsidRDefault="00624654" w:rsidP="004A47F3">
            <w:pPr>
              <w:spacing w:before="20" w:after="20"/>
            </w:pPr>
            <w:r w:rsidRPr="001A48C8">
              <w:t>Bill Short</w:t>
            </w:r>
          </w:p>
        </w:tc>
        <w:tc>
          <w:tcPr>
            <w:tcW w:w="14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E6CD12" w14:textId="1679EADB" w:rsidR="00624654" w:rsidRPr="001A48C8" w:rsidRDefault="00624654" w:rsidP="004A47F3">
            <w:pPr>
              <w:spacing w:before="20" w:after="20"/>
            </w:pPr>
            <w:r w:rsidRPr="001A48C8">
              <w:t>Engineering Geology</w:t>
            </w:r>
            <w:r w:rsidR="001413B7">
              <w:t xml:space="preserve"> and </w:t>
            </w:r>
            <w:r w:rsidRPr="001A48C8">
              <w:t>Hydrogeology</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561B7B" w14:textId="77777777" w:rsidR="00624654" w:rsidRPr="001A48C8" w:rsidRDefault="00624654" w:rsidP="004A47F3">
            <w:pPr>
              <w:spacing w:before="20" w:after="20"/>
            </w:pPr>
            <w:r w:rsidRPr="001A48C8">
              <w:t>California Geological Survey</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14:paraId="556925C2" w14:textId="77777777" w:rsidR="00624654" w:rsidRPr="001A48C8" w:rsidRDefault="00624654" w:rsidP="004A47F3">
            <w:pPr>
              <w:spacing w:before="20" w:after="20"/>
            </w:pPr>
            <w:r w:rsidRPr="001A48C8">
              <w:t>n/a</w:t>
            </w:r>
          </w:p>
        </w:tc>
      </w:tr>
      <w:tr w:rsidR="008921D3" w:rsidRPr="00A31282" w14:paraId="76E47E79" w14:textId="77777777" w:rsidTr="000333B1">
        <w:trPr>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F56A2E" w14:textId="77777777" w:rsidR="00624654" w:rsidRPr="001A48C8" w:rsidRDefault="00624654" w:rsidP="004A47F3">
            <w:pPr>
              <w:spacing w:before="20" w:after="20"/>
            </w:pPr>
            <w:r w:rsidRPr="001A48C8">
              <w:t>Jim Burke</w:t>
            </w:r>
          </w:p>
        </w:tc>
        <w:tc>
          <w:tcPr>
            <w:tcW w:w="14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F751A3" w14:textId="5E339C9D" w:rsidR="00624654" w:rsidRPr="001A48C8" w:rsidRDefault="00624654" w:rsidP="004A47F3">
            <w:pPr>
              <w:spacing w:before="20" w:after="20"/>
            </w:pPr>
            <w:r w:rsidRPr="001A48C8">
              <w:t>Geology</w:t>
            </w:r>
            <w:r w:rsidR="001413B7">
              <w:t xml:space="preserve"> and </w:t>
            </w:r>
            <w:r w:rsidRPr="001A48C8">
              <w:t>Water Quality</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03957B" w14:textId="77777777" w:rsidR="00624654" w:rsidRPr="001A48C8" w:rsidRDefault="00624654" w:rsidP="004A47F3">
            <w:pPr>
              <w:spacing w:before="20" w:after="20"/>
            </w:pPr>
            <w:r w:rsidRPr="001A48C8">
              <w:t>North Coast Regional Water Quality Control Board</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14:paraId="628A8385" w14:textId="77777777" w:rsidR="00624654" w:rsidRPr="001A48C8" w:rsidRDefault="00624654" w:rsidP="004A47F3">
            <w:pPr>
              <w:spacing w:before="20" w:after="20"/>
            </w:pPr>
            <w:r w:rsidRPr="001A48C8">
              <w:t>n/a</w:t>
            </w:r>
          </w:p>
        </w:tc>
      </w:tr>
      <w:tr w:rsidR="00627143" w:rsidRPr="00467F7A" w14:paraId="57F5A17C" w14:textId="77777777" w:rsidTr="00033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C5E0B3"/>
            <w:vAlign w:val="center"/>
          </w:tcPr>
          <w:p w14:paraId="2EBB0683" w14:textId="77777777" w:rsidR="00627143" w:rsidRPr="001A48C8" w:rsidRDefault="00627143" w:rsidP="004A47F3">
            <w:pPr>
              <w:pStyle w:val="TableHeader"/>
              <w:spacing w:after="60"/>
            </w:pPr>
            <w:r w:rsidRPr="001A48C8">
              <w:t>Support Staff</w:t>
            </w:r>
          </w:p>
        </w:tc>
      </w:tr>
      <w:tr w:rsidR="008921D3" w:rsidRPr="00467F7A" w14:paraId="50A2E3C2" w14:textId="77777777" w:rsidTr="00033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793196" w14:textId="77777777" w:rsidR="008921D3" w:rsidRDefault="00627143" w:rsidP="008F54B5">
            <w:pPr>
              <w:pStyle w:val="ListParagraph"/>
              <w:numPr>
                <w:ilvl w:val="0"/>
                <w:numId w:val="32"/>
              </w:numPr>
              <w:spacing w:before="20" w:after="20"/>
              <w:ind w:left="239" w:hanging="270"/>
            </w:pPr>
            <w:r w:rsidRPr="001A48C8">
              <w:lastRenderedPageBreak/>
              <w:t xml:space="preserve">Matt Dias </w:t>
            </w:r>
            <w:r w:rsidR="008921D3">
              <w:t>(to 07/01/2021)</w:t>
            </w:r>
          </w:p>
          <w:p w14:paraId="05410058" w14:textId="4935EAB0" w:rsidR="008921D3" w:rsidRPr="001A48C8" w:rsidRDefault="008921D3" w:rsidP="004A47F3">
            <w:pPr>
              <w:pStyle w:val="ListParagraph"/>
              <w:numPr>
                <w:ilvl w:val="0"/>
                <w:numId w:val="32"/>
              </w:numPr>
              <w:spacing w:before="20" w:after="20"/>
              <w:ind w:left="239" w:hanging="270"/>
            </w:pPr>
            <w:r>
              <w:t>Edith Hannigan (from 11/03/2021)</w:t>
            </w:r>
          </w:p>
        </w:tc>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14:paraId="696275BA" w14:textId="7A1A7440" w:rsidR="00627143" w:rsidRDefault="00627143" w:rsidP="008F54B5">
            <w:pPr>
              <w:pStyle w:val="ListParagraph"/>
              <w:numPr>
                <w:ilvl w:val="0"/>
                <w:numId w:val="33"/>
              </w:numPr>
              <w:spacing w:before="20" w:after="20"/>
              <w:ind w:left="244" w:hanging="270"/>
            </w:pPr>
            <w:r w:rsidRPr="001A48C8">
              <w:t>Forestry, RPF 2773</w:t>
            </w:r>
          </w:p>
          <w:p w14:paraId="29B6F1D5" w14:textId="3874F01E" w:rsidR="008921D3" w:rsidRPr="00BD76E6" w:rsidRDefault="008921D3" w:rsidP="004A47F3">
            <w:pPr>
              <w:pStyle w:val="ListParagraph"/>
              <w:numPr>
                <w:ilvl w:val="0"/>
                <w:numId w:val="33"/>
              </w:numPr>
              <w:spacing w:before="20" w:after="20"/>
              <w:ind w:left="244" w:hanging="270"/>
            </w:pPr>
            <w:r>
              <w:t>Geography and Sustainable Land Use Planning</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6A684541" w14:textId="77777777" w:rsidR="00627143" w:rsidRPr="001A48C8" w:rsidRDefault="00627143" w:rsidP="008F54B5">
            <w:pPr>
              <w:spacing w:before="20" w:after="20"/>
              <w:rPr>
                <w:b/>
              </w:rPr>
            </w:pPr>
            <w:r w:rsidRPr="001A48C8">
              <w:t>Board of Forestry and Fire Protection Executive Officer</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14:paraId="3D35B664" w14:textId="77777777" w:rsidR="00627143" w:rsidRPr="001A48C8" w:rsidRDefault="00627143" w:rsidP="008F54B5">
            <w:pPr>
              <w:spacing w:before="20" w:after="20"/>
              <w:rPr>
                <w:b/>
              </w:rPr>
            </w:pPr>
            <w:r w:rsidRPr="001A48C8">
              <w:t>n/a</w:t>
            </w:r>
          </w:p>
        </w:tc>
      </w:tr>
      <w:tr w:rsidR="008921D3" w:rsidRPr="00467F7A" w14:paraId="02C16BA6" w14:textId="77777777" w:rsidTr="000333B1">
        <w:trPr>
          <w:trHeight w:val="557"/>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78BE962A" w14:textId="77777777" w:rsidR="008921D3" w:rsidRDefault="00627143" w:rsidP="008F54B5">
            <w:pPr>
              <w:pStyle w:val="ListParagraph"/>
              <w:numPr>
                <w:ilvl w:val="0"/>
                <w:numId w:val="34"/>
              </w:numPr>
              <w:spacing w:before="20" w:after="20"/>
              <w:ind w:left="239" w:hanging="270"/>
            </w:pPr>
            <w:r w:rsidRPr="001A48C8">
              <w:t xml:space="preserve">Pete </w:t>
            </w:r>
            <w:proofErr w:type="spellStart"/>
            <w:r w:rsidRPr="001A48C8">
              <w:t>Cafferata</w:t>
            </w:r>
            <w:proofErr w:type="spellEnd"/>
            <w:r w:rsidR="008921D3">
              <w:t xml:space="preserve"> (to 07/01/2021) </w:t>
            </w:r>
          </w:p>
          <w:p w14:paraId="2945FC09" w14:textId="20ED7C15" w:rsidR="008921D3" w:rsidRPr="001A48C8" w:rsidRDefault="008921D3" w:rsidP="008F54B5">
            <w:pPr>
              <w:pStyle w:val="ListParagraph"/>
              <w:numPr>
                <w:ilvl w:val="0"/>
                <w:numId w:val="34"/>
              </w:numPr>
              <w:spacing w:before="20" w:after="20"/>
              <w:ind w:left="239" w:hanging="270"/>
            </w:pPr>
            <w:r>
              <w:t>Andrew Lawhorn (from 12/14/2021)</w:t>
            </w:r>
          </w:p>
        </w:tc>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14:paraId="47836996" w14:textId="77777777" w:rsidR="00627143" w:rsidRDefault="00627143" w:rsidP="008F54B5">
            <w:pPr>
              <w:pStyle w:val="ListParagraph"/>
              <w:numPr>
                <w:ilvl w:val="0"/>
                <w:numId w:val="35"/>
              </w:numPr>
              <w:spacing w:before="20" w:after="20"/>
              <w:ind w:left="244" w:hanging="270"/>
            </w:pPr>
            <w:r w:rsidRPr="001A48C8">
              <w:t>Hydrology/Forestry, RPF 2184</w:t>
            </w:r>
          </w:p>
          <w:p w14:paraId="7CE2B4FD" w14:textId="591E2788" w:rsidR="008921D3" w:rsidRPr="001A48C8" w:rsidRDefault="008921D3" w:rsidP="008F54B5">
            <w:pPr>
              <w:pStyle w:val="ListParagraph"/>
              <w:numPr>
                <w:ilvl w:val="0"/>
                <w:numId w:val="35"/>
              </w:numPr>
              <w:spacing w:before="20" w:after="20"/>
              <w:ind w:left="244" w:hanging="270"/>
            </w:pPr>
            <w:r>
              <w:t>Forestry and Fire Management</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7ED59954" w14:textId="77777777" w:rsidR="00627143" w:rsidRDefault="00627143" w:rsidP="008F54B5">
            <w:pPr>
              <w:pStyle w:val="ListParagraph"/>
              <w:numPr>
                <w:ilvl w:val="0"/>
                <w:numId w:val="36"/>
              </w:numPr>
              <w:spacing w:before="20" w:after="20"/>
              <w:ind w:left="245" w:hanging="274"/>
            </w:pPr>
            <w:r w:rsidRPr="001A48C8">
              <w:t>CAL FIRE</w:t>
            </w:r>
          </w:p>
          <w:p w14:paraId="2046584E" w14:textId="168BEB05" w:rsidR="008921D3" w:rsidRPr="001A48C8" w:rsidRDefault="008921D3" w:rsidP="008F54B5">
            <w:pPr>
              <w:pStyle w:val="ListParagraph"/>
              <w:numPr>
                <w:ilvl w:val="0"/>
                <w:numId w:val="36"/>
              </w:numPr>
              <w:spacing w:before="20" w:after="20"/>
              <w:ind w:left="245" w:hanging="274"/>
            </w:pPr>
            <w:r w:rsidRPr="001A48C8">
              <w:t>Board of Forestry and Fire Protection</w:t>
            </w:r>
            <w:r>
              <w:t>, CAL FIRE</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14:paraId="45B66EB2" w14:textId="77777777" w:rsidR="00627143" w:rsidRPr="001A48C8" w:rsidRDefault="00627143" w:rsidP="008F54B5">
            <w:pPr>
              <w:spacing w:before="20" w:after="20"/>
            </w:pPr>
            <w:r w:rsidRPr="001A48C8">
              <w:t>n/a</w:t>
            </w:r>
          </w:p>
        </w:tc>
      </w:tr>
      <w:tr w:rsidR="008921D3" w:rsidRPr="00467F7A" w14:paraId="7F2922E9" w14:textId="77777777" w:rsidTr="000333B1">
        <w:trPr>
          <w:trHeight w:val="557"/>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514B6FA2" w14:textId="77777777" w:rsidR="00627143" w:rsidRPr="001A48C8" w:rsidRDefault="00627143" w:rsidP="008F54B5">
            <w:pPr>
              <w:spacing w:before="20" w:after="20"/>
            </w:pPr>
            <w:r w:rsidRPr="001A48C8">
              <w:t xml:space="preserve">Stacy </w:t>
            </w:r>
            <w:proofErr w:type="spellStart"/>
            <w:r w:rsidRPr="001A48C8">
              <w:t>Stanish</w:t>
            </w:r>
            <w:proofErr w:type="spellEnd"/>
          </w:p>
        </w:tc>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14:paraId="560679C3" w14:textId="7D0C10B1" w:rsidR="00627143" w:rsidRPr="001A48C8" w:rsidRDefault="00627143" w:rsidP="008F54B5">
            <w:pPr>
              <w:spacing w:before="20" w:after="20"/>
            </w:pPr>
            <w:r w:rsidRPr="001A48C8">
              <w:t>Biology</w:t>
            </w:r>
            <w:r w:rsidR="008921D3">
              <w:t xml:space="preserve"> and </w:t>
            </w:r>
            <w:r w:rsidRPr="001A48C8">
              <w:t>Fisheries, RPF 3000</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517A0B80" w14:textId="77777777" w:rsidR="00627143" w:rsidRPr="001A48C8" w:rsidRDefault="00627143" w:rsidP="008F54B5">
            <w:pPr>
              <w:spacing w:before="20" w:after="20"/>
            </w:pPr>
            <w:r w:rsidRPr="001A48C8">
              <w:t>CAL FIRE</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14:paraId="52180949" w14:textId="77777777" w:rsidR="00627143" w:rsidRPr="001A48C8" w:rsidRDefault="00627143" w:rsidP="008F54B5">
            <w:pPr>
              <w:spacing w:before="20" w:after="20"/>
            </w:pPr>
            <w:r w:rsidRPr="001A48C8">
              <w:t>n/a</w:t>
            </w:r>
          </w:p>
        </w:tc>
      </w:tr>
      <w:tr w:rsidR="008921D3" w:rsidRPr="00467F7A" w14:paraId="5DBD43F5" w14:textId="77777777" w:rsidTr="000333B1">
        <w:trPr>
          <w:trHeight w:val="467"/>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2D4C56" w14:textId="77777777" w:rsidR="00627143" w:rsidRPr="001A48C8" w:rsidRDefault="00627143" w:rsidP="008F54B5">
            <w:pPr>
              <w:spacing w:before="20" w:after="20"/>
            </w:pPr>
            <w:r w:rsidRPr="001A48C8">
              <w:t>Dave Fowler</w:t>
            </w:r>
          </w:p>
        </w:tc>
        <w:tc>
          <w:tcPr>
            <w:tcW w:w="14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D67DA6" w14:textId="52E95873" w:rsidR="00627143" w:rsidRPr="001A48C8" w:rsidRDefault="00627143" w:rsidP="008F54B5">
            <w:pPr>
              <w:spacing w:before="20" w:after="20"/>
            </w:pPr>
            <w:r w:rsidRPr="001A48C8">
              <w:t>Geology</w:t>
            </w:r>
            <w:r w:rsidR="00104824">
              <w:t xml:space="preserve"> and </w:t>
            </w:r>
            <w:r w:rsidRPr="001A48C8">
              <w:t>Water Quality</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9F0D31" w14:textId="77777777" w:rsidR="00627143" w:rsidRPr="001A48C8" w:rsidRDefault="00627143" w:rsidP="008F54B5">
            <w:pPr>
              <w:spacing w:before="20" w:after="20"/>
            </w:pPr>
            <w:r w:rsidRPr="001A48C8">
              <w:t>North Coast Regional Water Quality Control Board</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14:paraId="5FC9DA01" w14:textId="77777777" w:rsidR="00627143" w:rsidRPr="001A48C8" w:rsidRDefault="00627143" w:rsidP="008F54B5">
            <w:pPr>
              <w:spacing w:before="20" w:after="20"/>
            </w:pPr>
            <w:r w:rsidRPr="001A48C8">
              <w:t>n/a</w:t>
            </w:r>
          </w:p>
        </w:tc>
      </w:tr>
      <w:tr w:rsidR="00104824" w:rsidRPr="00467F7A" w14:paraId="3558BD53" w14:textId="77777777" w:rsidTr="000333B1">
        <w:trPr>
          <w:trHeight w:val="1043"/>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31F07BA0" w14:textId="18C96FCD" w:rsidR="00104824" w:rsidRDefault="00104824" w:rsidP="008F54B5">
            <w:pPr>
              <w:pStyle w:val="ListParagraph"/>
              <w:numPr>
                <w:ilvl w:val="0"/>
                <w:numId w:val="37"/>
              </w:numPr>
              <w:spacing w:before="20" w:after="20"/>
              <w:ind w:left="239" w:hanging="270"/>
            </w:pPr>
            <w:r>
              <w:t>Katie Harrell (to 01/31/2021)</w:t>
            </w:r>
          </w:p>
          <w:p w14:paraId="035113EF" w14:textId="23E3E3B7" w:rsidR="00104824" w:rsidRPr="001A48C8" w:rsidRDefault="00104824" w:rsidP="008F54B5">
            <w:pPr>
              <w:pStyle w:val="ListParagraph"/>
              <w:numPr>
                <w:ilvl w:val="0"/>
                <w:numId w:val="37"/>
              </w:numPr>
              <w:spacing w:before="20" w:after="20"/>
              <w:ind w:left="239" w:hanging="270"/>
            </w:pPr>
            <w:r>
              <w:t>Kristina Wolf, Ph.D. (from 02/01/2021)</w:t>
            </w:r>
          </w:p>
        </w:tc>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14:paraId="04C2200E" w14:textId="72C2F3C2" w:rsidR="00104824" w:rsidRDefault="00104824" w:rsidP="008F54B5">
            <w:pPr>
              <w:pStyle w:val="ListParagraph"/>
              <w:numPr>
                <w:ilvl w:val="0"/>
                <w:numId w:val="38"/>
              </w:numPr>
              <w:spacing w:before="20" w:after="20"/>
              <w:ind w:left="244" w:hanging="270"/>
            </w:pPr>
            <w:r>
              <w:t>Forestry</w:t>
            </w:r>
          </w:p>
          <w:p w14:paraId="58766E98" w14:textId="689C493C" w:rsidR="00104824" w:rsidRPr="001A48C8" w:rsidRDefault="00104824" w:rsidP="008F54B5">
            <w:pPr>
              <w:pStyle w:val="ListParagraph"/>
              <w:numPr>
                <w:ilvl w:val="0"/>
                <w:numId w:val="38"/>
              </w:numPr>
              <w:spacing w:before="20" w:after="20"/>
              <w:ind w:left="244" w:hanging="270"/>
            </w:pPr>
            <w:r>
              <w:t>Rangeland and Restoration Ecology</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527DB4F5" w14:textId="77777777" w:rsidR="00104824" w:rsidRPr="001A48C8" w:rsidRDefault="00104824" w:rsidP="008F54B5">
            <w:pPr>
              <w:spacing w:before="20" w:after="20"/>
            </w:pPr>
            <w:r w:rsidRPr="001A48C8">
              <w:t>Board of Forestry and Fire Protection</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14:paraId="3B93EF86" w14:textId="77777777" w:rsidR="00104824" w:rsidRPr="001A48C8" w:rsidRDefault="00104824" w:rsidP="008F54B5">
            <w:pPr>
              <w:spacing w:before="20" w:after="20"/>
            </w:pPr>
            <w:r w:rsidRPr="001A48C8">
              <w:t>n/a</w:t>
            </w:r>
          </w:p>
        </w:tc>
      </w:tr>
    </w:tbl>
    <w:p w14:paraId="47526A53" w14:textId="47F97EC7" w:rsidR="00093062" w:rsidRDefault="000F131D" w:rsidP="00B8427D">
      <w:pPr>
        <w:pStyle w:val="Heading1"/>
      </w:pPr>
      <w:r w:rsidRPr="006D431D">
        <w:t xml:space="preserve">EMC </w:t>
      </w:r>
      <w:r w:rsidR="00F450E5" w:rsidRPr="006D431D">
        <w:t xml:space="preserve">PROJECT </w:t>
      </w:r>
      <w:r w:rsidR="00F450E5" w:rsidRPr="00B8427D">
        <w:t>UPDATES</w:t>
      </w:r>
    </w:p>
    <w:p w14:paraId="498172BB" w14:textId="048262F2" w:rsidR="00B8427D" w:rsidRPr="00B8427D" w:rsidRDefault="00B8427D" w:rsidP="00B8427D">
      <w:r>
        <w:t>The following section provides more information on reported project activities in 2021, or prior if applicable</w:t>
      </w:r>
      <w:r w:rsidR="008F54B5">
        <w:t>:</w:t>
      </w:r>
      <w:r>
        <w:t xml:space="preserve"> </w:t>
      </w:r>
    </w:p>
    <w:p w14:paraId="1AD1082D" w14:textId="12EFDD6C" w:rsidR="00B554DA" w:rsidRPr="008F54B5" w:rsidRDefault="00E509B0" w:rsidP="00B8427D">
      <w:pPr>
        <w:pStyle w:val="Heading2"/>
        <w:rPr>
          <w:sz w:val="23"/>
          <w:szCs w:val="23"/>
        </w:rPr>
      </w:pPr>
      <w:r w:rsidRPr="00224838">
        <w:t xml:space="preserve">EMC-2015-001: </w:t>
      </w:r>
      <w:r w:rsidR="002926EE" w:rsidRPr="00224838">
        <w:t>Class II Large Watercourse Study: Multiscale investigation of perennial flow and thermal influence of headwater streams into fish bearing systems</w:t>
      </w:r>
      <w:r w:rsidR="002926EE" w:rsidRPr="003F688A">
        <w:t xml:space="preserve"> </w:t>
      </w:r>
    </w:p>
    <w:p w14:paraId="70018BF2" w14:textId="31F3A477" w:rsidR="00035172" w:rsidRPr="0009113C" w:rsidRDefault="009D1986" w:rsidP="0028145A">
      <w:r>
        <w:t xml:space="preserve">At the January 13, 2021 EMC meeting, Member </w:t>
      </w:r>
      <w:r w:rsidR="00035172" w:rsidRPr="00035172">
        <w:t>Coe announced that OSU PhD student Austin Wissler ha</w:t>
      </w:r>
      <w:r>
        <w:t>d</w:t>
      </w:r>
      <w:r w:rsidR="00035172" w:rsidRPr="00035172">
        <w:t xml:space="preserve"> analyzed the thermistor data for EMC-2015-001: Class II-Large Monitoring from Caspar Creek and </w:t>
      </w:r>
      <w:proofErr w:type="spellStart"/>
      <w:r w:rsidR="00035172" w:rsidRPr="00035172">
        <w:t>LaTour</w:t>
      </w:r>
      <w:proofErr w:type="spellEnd"/>
      <w:r w:rsidR="00035172" w:rsidRPr="00035172">
        <w:t xml:space="preserve"> Demonstration State Forest as the first part of his dissertation research. This portion of his research has been submitted for publication to </w:t>
      </w:r>
      <w:r>
        <w:t xml:space="preserve">the journal </w:t>
      </w:r>
      <w:r w:rsidR="00035172" w:rsidRPr="00035172">
        <w:t xml:space="preserve">Hydrological Processes in January 2021. </w:t>
      </w:r>
      <w:r w:rsidR="0009113C">
        <w:t xml:space="preserve">A paper was accepted and published in the journal </w:t>
      </w:r>
      <w:proofErr w:type="spellStart"/>
      <w:r w:rsidR="0009113C">
        <w:rPr>
          <w:i/>
          <w:iCs/>
        </w:rPr>
        <w:t>Authorea</w:t>
      </w:r>
      <w:proofErr w:type="spellEnd"/>
      <w:r w:rsidR="0009113C">
        <w:t xml:space="preserve"> in January 2021.</w:t>
      </w:r>
    </w:p>
    <w:p w14:paraId="57F8F23E" w14:textId="6DED5C63" w:rsidR="007F781D" w:rsidRPr="000060DE" w:rsidRDefault="007F781D" w:rsidP="0028145A">
      <w:r>
        <w:t>As part of a California Fire Science Seminar Series,</w:t>
      </w:r>
      <w:r w:rsidRPr="007F781D">
        <w:t xml:space="preserve"> Dr. Kevin Bladon</w:t>
      </w:r>
      <w:r>
        <w:t xml:space="preserve"> </w:t>
      </w:r>
      <w:r w:rsidRPr="007F781D">
        <w:t xml:space="preserve">provided a presentation titled “Wildfire and Post-Fire Management Effects on Water Resources” </w:t>
      </w:r>
      <w:r w:rsidR="000060DE">
        <w:t xml:space="preserve">on April 13, 2021 </w:t>
      </w:r>
      <w:r>
        <w:t xml:space="preserve">(recorded and </w:t>
      </w:r>
      <w:r w:rsidRPr="007F781D">
        <w:t>posted at</w:t>
      </w:r>
      <w:r>
        <w:t xml:space="preserve"> </w:t>
      </w:r>
      <w:r w:rsidRPr="000060DE">
        <w:t xml:space="preserve"> </w:t>
      </w:r>
      <w:hyperlink r:id="rId20" w:history="1">
        <w:r w:rsidRPr="008F54B5">
          <w:rPr>
            <w:rStyle w:val="Hyperlink"/>
          </w:rPr>
          <w:t>https://www.youtube.com/watch?v=yI199ixy_SI&amp;list=PLvPofWzmi8889iiaMSPtzUD0VLqxyo-fz&amp;index=29</w:t>
        </w:r>
      </w:hyperlink>
      <w:r w:rsidRPr="008F54B5">
        <w:rPr>
          <w:rStyle w:val="Hyperlink"/>
        </w:rPr>
        <w:t>)</w:t>
      </w:r>
      <w:r w:rsidR="000060DE" w:rsidRPr="008F54B5">
        <w:rPr>
          <w:rStyle w:val="Hyperlink"/>
        </w:rPr>
        <w:t xml:space="preserve">. </w:t>
      </w:r>
      <w:r w:rsidR="000060DE">
        <w:rPr>
          <w:rStyle w:val="Hyperlink"/>
        </w:rPr>
        <w:t xml:space="preserve"> </w:t>
      </w:r>
    </w:p>
    <w:p w14:paraId="6A324553" w14:textId="482977FD" w:rsidR="00093062" w:rsidRPr="008F54B5" w:rsidRDefault="009D1986" w:rsidP="0028145A">
      <w:pPr>
        <w:rPr>
          <w:rStyle w:val="Strong"/>
          <w:b w:val="0"/>
          <w:bCs w:val="0"/>
        </w:rPr>
      </w:pPr>
      <w:r w:rsidRPr="008F54B5">
        <w:rPr>
          <w:rStyle w:val="Strong"/>
          <w:b w:val="0"/>
          <w:bCs w:val="0"/>
        </w:rPr>
        <w:t xml:space="preserve">At the April 21, 2021 EMC meeting, Member Coe presented on longitudinal trends in stream temperature from work conducted in the Caspar Creek Experimental Watersheds and on </w:t>
      </w:r>
      <w:proofErr w:type="spellStart"/>
      <w:r w:rsidRPr="008F54B5">
        <w:rPr>
          <w:rStyle w:val="Strong"/>
          <w:b w:val="0"/>
          <w:bCs w:val="0"/>
        </w:rPr>
        <w:t>LaTour</w:t>
      </w:r>
      <w:proofErr w:type="spellEnd"/>
      <w:r w:rsidRPr="008F54B5">
        <w:rPr>
          <w:rStyle w:val="Strong"/>
          <w:b w:val="0"/>
          <w:bCs w:val="0"/>
        </w:rPr>
        <w:t xml:space="preserve"> Demonstration State Forest (contrasting lithologies). Data were collected in five Caspar watersheds and three </w:t>
      </w:r>
      <w:proofErr w:type="spellStart"/>
      <w:r w:rsidRPr="008F54B5">
        <w:rPr>
          <w:rStyle w:val="Strong"/>
          <w:b w:val="0"/>
          <w:bCs w:val="0"/>
        </w:rPr>
        <w:t>LaTour</w:t>
      </w:r>
      <w:proofErr w:type="spellEnd"/>
      <w:r w:rsidRPr="008F54B5">
        <w:rPr>
          <w:rStyle w:val="Strong"/>
          <w:b w:val="0"/>
          <w:bCs w:val="0"/>
        </w:rPr>
        <w:t xml:space="preserve"> basins in 2017 and 2018. Drainage areas ranged from 57 to 773 acres. Air and stream temperatures tracked much more closely for the coastal basins compared to the inland </w:t>
      </w:r>
      <w:proofErr w:type="spellStart"/>
      <w:r w:rsidRPr="008F54B5">
        <w:rPr>
          <w:rStyle w:val="Strong"/>
          <w:b w:val="0"/>
          <w:bCs w:val="0"/>
        </w:rPr>
        <w:t>LaTour</w:t>
      </w:r>
      <w:proofErr w:type="spellEnd"/>
      <w:r w:rsidRPr="008F54B5">
        <w:rPr>
          <w:rStyle w:val="Strong"/>
          <w:b w:val="0"/>
          <w:bCs w:val="0"/>
        </w:rPr>
        <w:t xml:space="preserve"> basins. Input of </w:t>
      </w:r>
      <w:proofErr w:type="spellStart"/>
      <w:r w:rsidRPr="008F54B5">
        <w:rPr>
          <w:rStyle w:val="Strong"/>
          <w:b w:val="0"/>
          <w:bCs w:val="0"/>
        </w:rPr>
        <w:t>coldwater</w:t>
      </w:r>
      <w:proofErr w:type="spellEnd"/>
      <w:r w:rsidRPr="008F54B5">
        <w:rPr>
          <w:rStyle w:val="Strong"/>
          <w:b w:val="0"/>
          <w:bCs w:val="0"/>
        </w:rPr>
        <w:t xml:space="preserve"> springs decreased water temperature at entry points in the Cascade Range, providing cooling in a downstream direction, while four out of five Coast Ranges streams had a warming trend downstream. Spring inputs were found to lower the relationship between air and water temperatures. </w:t>
      </w:r>
      <w:r w:rsidR="00093062" w:rsidRPr="008F54B5">
        <w:rPr>
          <w:rStyle w:val="Strong"/>
          <w:b w:val="0"/>
          <w:bCs w:val="0"/>
        </w:rPr>
        <w:t xml:space="preserve">This study showed that not all streams meet the assumptions of uniform downstream warming utilized with the Class II-Large </w:t>
      </w:r>
      <w:r w:rsidR="003B2E02" w:rsidRPr="00224838">
        <w:lastRenderedPageBreak/>
        <w:t xml:space="preserve">Anadromous Salmonid Protection </w:t>
      </w:r>
      <w:r w:rsidR="003B2E02">
        <w:t xml:space="preserve">(ASP) </w:t>
      </w:r>
      <w:r w:rsidR="00093062" w:rsidRPr="008F54B5">
        <w:rPr>
          <w:rStyle w:val="Strong"/>
          <w:b w:val="0"/>
          <w:bCs w:val="0"/>
        </w:rPr>
        <w:t xml:space="preserve">rules. The general pattern of complex instead of assumed asymptotic downstream warming makes implications for the California Forest Practice Rules difficult.  This conclusion validates the concepts included in 916.9[936.9, </w:t>
      </w:r>
      <w:proofErr w:type="gramStart"/>
      <w:r w:rsidR="00093062" w:rsidRPr="008F54B5">
        <w:rPr>
          <w:rStyle w:val="Strong"/>
          <w:b w:val="0"/>
          <w:bCs w:val="0"/>
        </w:rPr>
        <w:t>956.8](</w:t>
      </w:r>
      <w:proofErr w:type="gramEnd"/>
      <w:r w:rsidR="00093062" w:rsidRPr="008F54B5">
        <w:rPr>
          <w:rStyle w:val="Strong"/>
          <w:b w:val="0"/>
          <w:bCs w:val="0"/>
        </w:rPr>
        <w:t xml:space="preserve">v), allowing RPFs to develop site-specific riparian zone measures where they are appropriate.  </w:t>
      </w:r>
    </w:p>
    <w:p w14:paraId="3227FFD4" w14:textId="00FF5290" w:rsidR="00093062" w:rsidRDefault="00093062" w:rsidP="0028145A">
      <w:r>
        <w:t>Adam Pate’s earlier work conducting a regional assessment of parameters for determining Class II flow permanence and network connectivity was also briefly described (Pate et al. 2020). Approximately 100 streams were studied, with channel characteristics and surface water conditions measured in mostly ASP</w:t>
      </w:r>
      <w:r w:rsidR="003B2E02">
        <w:t xml:space="preserve"> </w:t>
      </w:r>
      <w:r>
        <w:t xml:space="preserve">watersheds. The most important variable for connectivity was winter precipitation. Drainage area was found to be more important than </w:t>
      </w:r>
      <w:proofErr w:type="spellStart"/>
      <w:r>
        <w:t>bankfull</w:t>
      </w:r>
      <w:proofErr w:type="spellEnd"/>
      <w:r>
        <w:t xml:space="preserve"> channel width, and width was found to work in the opposite direction than expected (decreased flow with wider channels). For connected streams, the rule requirement of 100 or 150 acres depending on forest practice district came reasonably close to the mid-values measured in this field study. The rule mandated drainage areas did not work as well for flow permanence, but they were still tracking appropriately (larger watersheds had more flow permanence). In general, this study provides evidence that channel width is not a good predictor for higher water temperatures being transmitted downstream, while drainage area is a good parameter for use in the CA Forest Practice Rules.  </w:t>
      </w:r>
    </w:p>
    <w:p w14:paraId="438E363E" w14:textId="2E282AA0" w:rsidR="00093062" w:rsidRDefault="009D1986" w:rsidP="0028145A">
      <w:pPr>
        <w:rPr>
          <w:sz w:val="24"/>
          <w:szCs w:val="24"/>
        </w:rPr>
      </w:pPr>
      <w:r>
        <w:t xml:space="preserve">Member Coe </w:t>
      </w:r>
      <w:r w:rsidR="000060DE">
        <w:t xml:space="preserve">also </w:t>
      </w:r>
      <w:r>
        <w:t xml:space="preserve">reported that the manuscript previously submitted to the journal </w:t>
      </w:r>
      <w:r w:rsidRPr="006342E8">
        <w:rPr>
          <w:i/>
          <w:iCs/>
        </w:rPr>
        <w:t>Hydrological Processes</w:t>
      </w:r>
      <w:r>
        <w:t xml:space="preserve"> was rejected, and that modifications would be made to the discussion section and the paper would be resubmitted over the summer.  </w:t>
      </w:r>
    </w:p>
    <w:p w14:paraId="41C3B447" w14:textId="5365C08D" w:rsidR="00093062" w:rsidRDefault="00224838" w:rsidP="0028145A">
      <w:r>
        <w:t xml:space="preserve">The EMC determined that the completed project EMC-2015-001 would </w:t>
      </w:r>
      <w:r w:rsidR="000060DE">
        <w:t xml:space="preserve">provide </w:t>
      </w:r>
      <w:r>
        <w:t>a good beta test for the draft S</w:t>
      </w:r>
      <w:r w:rsidR="00093062">
        <w:t xml:space="preserve">cience to </w:t>
      </w:r>
      <w:r>
        <w:t>P</w:t>
      </w:r>
      <w:r w:rsidR="00093062">
        <w:t xml:space="preserve">olicy </w:t>
      </w:r>
      <w:r>
        <w:t>Framework (i.e., the precursor to the Completed Research Assessment). I</w:t>
      </w:r>
      <w:r w:rsidR="00093062">
        <w:t xml:space="preserve">t was found that the study (1) did fulfill the funding requirements and informed a </w:t>
      </w:r>
      <w:r>
        <w:t>FPR</w:t>
      </w:r>
      <w:r w:rsidR="00093062">
        <w:t xml:space="preserve">; (2) was scientifically sound (one published paper to date); (3) scalable: clear differences in warming patterns were documented in different lithologies, with complex patterns observed in the Cascade Range; a key limitation was that only temperature was studied, while the ASP rules were also developed to address the transport of sediment, large wood, and nutrients; (4) additional research needed: it is appropriate to determine findings from EMC-2018-006 prior to initiating new research; and (5) scientific application: our understanding of controls for perennial/connectivity flow for headwater streams in California has been substantially increased.  </w:t>
      </w:r>
    </w:p>
    <w:p w14:paraId="4AD6DEF9" w14:textId="5B9A575D" w:rsidR="00093062" w:rsidRDefault="00B25FEA" w:rsidP="0028145A">
      <w:r>
        <w:t xml:space="preserve">At the </w:t>
      </w:r>
      <w:r w:rsidR="00093062">
        <w:t>Jul</w:t>
      </w:r>
      <w:r>
        <w:t>y</w:t>
      </w:r>
      <w:r w:rsidR="00093062">
        <w:t xml:space="preserve"> 21</w:t>
      </w:r>
      <w:r>
        <w:t xml:space="preserve">, 2021 EMC Meeting, Member </w:t>
      </w:r>
      <w:r w:rsidR="00093062">
        <w:t xml:space="preserve">Coe summarized the </w:t>
      </w:r>
      <w:r>
        <w:t>revised C</w:t>
      </w:r>
      <w:r w:rsidR="00093062">
        <w:t xml:space="preserve">ompleted </w:t>
      </w:r>
      <w:r>
        <w:t>R</w:t>
      </w:r>
      <w:r w:rsidR="00093062">
        <w:t xml:space="preserve">esearch </w:t>
      </w:r>
      <w:r>
        <w:t>A</w:t>
      </w:r>
      <w:r w:rsidR="00093062">
        <w:t xml:space="preserve">ssessment </w:t>
      </w:r>
      <w:r>
        <w:t xml:space="preserve">that he and Member Matt </w:t>
      </w:r>
      <w:r w:rsidR="00093062">
        <w:t xml:space="preserve">House </w:t>
      </w:r>
      <w:r>
        <w:t xml:space="preserve">completed </w:t>
      </w:r>
      <w:r w:rsidR="00093062">
        <w:t xml:space="preserve">for </w:t>
      </w:r>
      <w:r>
        <w:t>t</w:t>
      </w:r>
      <w:r w:rsidR="00093062">
        <w:t>his project</w:t>
      </w:r>
      <w:r>
        <w:t>. The project</w:t>
      </w:r>
      <w:r w:rsidR="00093062">
        <w:t xml:space="preserve"> </w:t>
      </w:r>
      <w:r>
        <w:t xml:space="preserve">determined </w:t>
      </w:r>
      <w:r w:rsidR="00093062">
        <w:t xml:space="preserve">that drainage area is considerably more important than the active channel width for determining both Class II flow connectivity and flow permanence. </w:t>
      </w:r>
      <w:r>
        <w:t xml:space="preserve">The document suggested that </w:t>
      </w:r>
      <w:r w:rsidR="00093062">
        <w:t>simplifying the FPRs by removing channel width as a criterion for classifying Class II-Large watercourses</w:t>
      </w:r>
      <w:r>
        <w:t xml:space="preserve"> was merited</w:t>
      </w:r>
      <w:r w:rsidR="00093062">
        <w:t xml:space="preserve">. </w:t>
      </w:r>
      <w:r>
        <w:t xml:space="preserve">Revisions were suggested to the document prior to its presentation to the Board’s </w:t>
      </w:r>
      <w:r w:rsidR="00E31BC3" w:rsidRPr="008F54B5">
        <w:t>Forest Practice Committee.</w:t>
      </w:r>
    </w:p>
    <w:p w14:paraId="4B166380" w14:textId="1B084288" w:rsidR="00B25FEA" w:rsidRPr="00723B0C" w:rsidRDefault="00B25FEA" w:rsidP="0028145A">
      <w:r>
        <w:t xml:space="preserve">The final project results </w:t>
      </w:r>
      <w:r w:rsidR="00FE3FB9">
        <w:t xml:space="preserve">were presented to the Board by Member Coe on </w:t>
      </w:r>
      <w:r w:rsidR="00FE3FB9" w:rsidRPr="008F54B5">
        <w:rPr>
          <w:highlight w:val="yellow"/>
        </w:rPr>
        <w:t>XX</w:t>
      </w:r>
      <w:r w:rsidR="00FE3FB9">
        <w:t xml:space="preserve">. The </w:t>
      </w:r>
      <w:r>
        <w:t xml:space="preserve">Completed Research Assessment </w:t>
      </w:r>
      <w:r w:rsidR="00FE3FB9">
        <w:t xml:space="preserve">was </w:t>
      </w:r>
      <w:r w:rsidR="00022A6C">
        <w:t xml:space="preserve">also </w:t>
      </w:r>
      <w:r>
        <w:t xml:space="preserve">presented to the Forest Practice Committee </w:t>
      </w:r>
      <w:r w:rsidR="00FE3FB9">
        <w:t xml:space="preserve">at the </w:t>
      </w:r>
      <w:r w:rsidR="00FE3FB9" w:rsidRPr="00FE3FB9">
        <w:t>Sept</w:t>
      </w:r>
      <w:r w:rsidR="00FE3FB9">
        <w:t xml:space="preserve">ember </w:t>
      </w:r>
      <w:r w:rsidR="0009113C">
        <w:t xml:space="preserve">10, 2021 </w:t>
      </w:r>
      <w:r w:rsidR="00FE3FB9">
        <w:t>Board meeting</w:t>
      </w:r>
      <w:r w:rsidR="00FE3FB9" w:rsidRPr="00FE3FB9">
        <w:t xml:space="preserve">, </w:t>
      </w:r>
      <w:r w:rsidR="00FE3FB9">
        <w:t xml:space="preserve">including </w:t>
      </w:r>
      <w:r w:rsidR="00FE3FB9" w:rsidRPr="00FE3FB9">
        <w:t>potential implications for policy</w:t>
      </w:r>
      <w:r w:rsidR="00FE3FB9">
        <w:t xml:space="preserve">. In response, the </w:t>
      </w:r>
      <w:r w:rsidR="00FE3FB9" w:rsidRPr="00FE3FB9">
        <w:t xml:space="preserve">Board proposed </w:t>
      </w:r>
      <w:r w:rsidR="0009113C">
        <w:t xml:space="preserve">some rule </w:t>
      </w:r>
      <w:r w:rsidR="00FE3FB9" w:rsidRPr="00FE3FB9">
        <w:t xml:space="preserve">changes, </w:t>
      </w:r>
      <w:r w:rsidR="00FE3FB9">
        <w:t xml:space="preserve">and the item will be discussed at a </w:t>
      </w:r>
      <w:r w:rsidR="00FE3FB9" w:rsidRPr="00FE3FB9">
        <w:t>future Board meeting</w:t>
      </w:r>
      <w:r w:rsidR="00DD7B6B">
        <w:t xml:space="preserve">. Updated presentations were </w:t>
      </w:r>
      <w:r w:rsidR="00DD7B6B" w:rsidRPr="004A70A8">
        <w:t xml:space="preserve">presented to the Board at the Forest Practice Committee meeting on </w:t>
      </w:r>
      <w:r w:rsidR="00DD7B6B">
        <w:t xml:space="preserve">November 3, 2021, and again on </w:t>
      </w:r>
      <w:r w:rsidR="00DD7B6B" w:rsidRPr="004A70A8">
        <w:t>December 8, 2021.</w:t>
      </w:r>
    </w:p>
    <w:p w14:paraId="4B35367F" w14:textId="622FE54E" w:rsidR="002A67A1" w:rsidRDefault="002A67A1" w:rsidP="000333B1">
      <w:pPr>
        <w:pStyle w:val="Heading2"/>
        <w:rPr>
          <w:u w:val="none"/>
        </w:rPr>
      </w:pPr>
      <w:r w:rsidRPr="006D431D">
        <w:t>EMC-2016-002: Post-fire Effectiveness of the Forest Practice Rules in Protecting Water Quality on Boggs Mountain Demonstration State Forest</w:t>
      </w:r>
      <w:r w:rsidR="002926EE" w:rsidRPr="006D431D">
        <w:rPr>
          <w:u w:val="none"/>
        </w:rPr>
        <w:t xml:space="preserve">  </w:t>
      </w:r>
    </w:p>
    <w:p w14:paraId="01C3E10D" w14:textId="326AB4FD" w:rsidR="00D05834" w:rsidRDefault="00D05834" w:rsidP="00B60150">
      <w:r>
        <w:lastRenderedPageBreak/>
        <w:t>At the January 13, 2021 EMC Meeting, Member Coe summarized a published poster presented online at the Fall 2020 AGU (</w:t>
      </w:r>
      <w:r w:rsidR="00C32527" w:rsidRPr="008F54B5">
        <w:t>American Geophysical Union</w:t>
      </w:r>
      <w:r>
        <w:t xml:space="preserve">) meeting titled “Alternative methods for reducing sediment delivery from skid trails used for post-fire logging”. This component of the study was included to develop and demonstrate alternative best management practices (BMPs) for post-fire salvage operations. Rainfall simulation was used to test post-fire treatments on skid trails in an area that burned with high severity in the 2015 Valley Fire. Runoff experiments were conducted to compare changes in runoff and sediment outputs among five mitigation techniques. The treatments were: </w:t>
      </w:r>
    </w:p>
    <w:p w14:paraId="75DDB65E" w14:textId="77777777" w:rsidR="00D05834" w:rsidRDefault="00D05834" w:rsidP="008F54B5">
      <w:pPr>
        <w:pStyle w:val="ListParagraph"/>
        <w:numPr>
          <w:ilvl w:val="0"/>
          <w:numId w:val="37"/>
        </w:numPr>
        <w:spacing w:after="60"/>
      </w:pPr>
      <w:bookmarkStart w:id="6" w:name="_Hlk89981291"/>
      <w:r>
        <w:t xml:space="preserve">Control: standard </w:t>
      </w:r>
      <w:proofErr w:type="spellStart"/>
      <w:r>
        <w:t>waterbar</w:t>
      </w:r>
      <w:proofErr w:type="spellEnd"/>
      <w:r>
        <w:t xml:space="preserve"> spacing with the FPRs (100 feet with moderate EHR; 30-40% slopes). </w:t>
      </w:r>
    </w:p>
    <w:p w14:paraId="0AA0CA7E" w14:textId="77777777" w:rsidR="00D05834" w:rsidRDefault="00D05834" w:rsidP="008F54B5">
      <w:pPr>
        <w:pStyle w:val="ListParagraph"/>
        <w:numPr>
          <w:ilvl w:val="0"/>
          <w:numId w:val="37"/>
        </w:numPr>
        <w:spacing w:after="60"/>
      </w:pPr>
      <w:r>
        <w:t xml:space="preserve">Double-drainage: </w:t>
      </w:r>
      <w:proofErr w:type="spellStart"/>
      <w:r>
        <w:t>waterbar</w:t>
      </w:r>
      <w:proofErr w:type="spellEnd"/>
      <w:r>
        <w:t xml:space="preserve"> spacing set to ½ the prescribed FPR spacing (50 feet). </w:t>
      </w:r>
    </w:p>
    <w:p w14:paraId="301D6F8B" w14:textId="77777777" w:rsidR="00D05834" w:rsidRDefault="00D05834" w:rsidP="008F54B5">
      <w:pPr>
        <w:pStyle w:val="ListParagraph"/>
        <w:numPr>
          <w:ilvl w:val="0"/>
          <w:numId w:val="37"/>
        </w:numPr>
        <w:spacing w:after="60"/>
      </w:pPr>
      <w:r>
        <w:t xml:space="preserve">Slash-covered: skid trail covered with logging slash at a rate of 50%. </w:t>
      </w:r>
    </w:p>
    <w:p w14:paraId="5D7E1601" w14:textId="77777777" w:rsidR="00D05834" w:rsidRDefault="00D05834" w:rsidP="008F54B5">
      <w:pPr>
        <w:pStyle w:val="ListParagraph"/>
        <w:numPr>
          <w:ilvl w:val="0"/>
          <w:numId w:val="37"/>
        </w:numPr>
        <w:spacing w:after="60"/>
      </w:pPr>
      <w:r>
        <w:t xml:space="preserve">Slash-packed </w:t>
      </w:r>
      <w:proofErr w:type="spellStart"/>
      <w:r>
        <w:t>waterbar</w:t>
      </w:r>
      <w:proofErr w:type="spellEnd"/>
      <w:r>
        <w:t xml:space="preserve"> outlets: outlets covered with logging slash (70%) and machine packed. </w:t>
      </w:r>
    </w:p>
    <w:p w14:paraId="21CC18A7" w14:textId="77777777" w:rsidR="00D05834" w:rsidRDefault="00D05834" w:rsidP="008F54B5">
      <w:pPr>
        <w:pStyle w:val="ListParagraph"/>
        <w:numPr>
          <w:ilvl w:val="0"/>
          <w:numId w:val="37"/>
        </w:numPr>
        <w:spacing w:after="60"/>
      </w:pPr>
      <w:r>
        <w:t xml:space="preserve">Walked-in slash: both skid trail and </w:t>
      </w:r>
      <w:proofErr w:type="spellStart"/>
      <w:r>
        <w:t>waterbar</w:t>
      </w:r>
      <w:proofErr w:type="spellEnd"/>
      <w:r>
        <w:t xml:space="preserve"> outlet covered by slash (50% and 70%, respectively), and machine packed. </w:t>
      </w:r>
    </w:p>
    <w:bookmarkEnd w:id="6"/>
    <w:p w14:paraId="2426BC03" w14:textId="0491E3A2" w:rsidR="00EB5176" w:rsidRDefault="00D05834" w:rsidP="00B60150">
      <w:r>
        <w:t xml:space="preserve">A licensed timber operator made four round trips on each skid trail. There were six plots randomly assigned for each treatment. Plot test sections were ½ the distance between </w:t>
      </w:r>
      <w:proofErr w:type="spellStart"/>
      <w:r>
        <w:t>waterbars</w:t>
      </w:r>
      <w:proofErr w:type="spellEnd"/>
      <w:r>
        <w:t xml:space="preserve"> and the full skid trail width. The application rate for the runoff simulator was 28 mm/</w:t>
      </w:r>
      <w:proofErr w:type="spellStart"/>
      <w:r>
        <w:t>hr</w:t>
      </w:r>
      <w:proofErr w:type="spellEnd"/>
      <w:r>
        <w:t xml:space="preserve"> (1.1 in/</w:t>
      </w:r>
      <w:proofErr w:type="spellStart"/>
      <w:r>
        <w:t>hr</w:t>
      </w:r>
      <w:proofErr w:type="spellEnd"/>
      <w:r>
        <w:t>) for 30 minutes, which corresponded to the runoff rate from rainfall simulations with an applied rainfall rate of 71 mm/</w:t>
      </w:r>
      <w:proofErr w:type="spellStart"/>
      <w:r>
        <w:t>hr</w:t>
      </w:r>
      <w:proofErr w:type="spellEnd"/>
      <w:r>
        <w:t xml:space="preserve"> (&gt;100-year recurrence interval; </w:t>
      </w:r>
      <w:r w:rsidRPr="008F54B5">
        <w:rPr>
          <w:highlight w:val="yellow"/>
        </w:rPr>
        <w:t>Prats et al. 2021</w:t>
      </w:r>
      <w:r>
        <w:t xml:space="preserve">). Variables included surface cover, surface roughness, runoff velocity (using a pulsed saline injection tracer), runoff rate, and sediment concentration. Results </w:t>
      </w:r>
      <w:r w:rsidR="00EB5176">
        <w:t>were as follows</w:t>
      </w:r>
      <w:r>
        <w:t xml:space="preserve">: </w:t>
      </w:r>
    </w:p>
    <w:p w14:paraId="1A792FB4" w14:textId="5660F3A3" w:rsidR="00EB5176" w:rsidRDefault="00EB5176" w:rsidP="008F54B5">
      <w:pPr>
        <w:pStyle w:val="ListParagraph"/>
        <w:numPr>
          <w:ilvl w:val="0"/>
          <w:numId w:val="37"/>
        </w:numPr>
        <w:spacing w:after="60"/>
      </w:pPr>
      <w:r>
        <w:t xml:space="preserve">Cover: There was no difference in wood cover between the Control and Double-drainage plots or outlets. Plot wood cover was greater for the Slash-covered and Walked-in treatments, which included addition of wood on the skid trail surface. Outlet wood cover was greater for Slash-covered, </w:t>
      </w:r>
      <w:proofErr w:type="spellStart"/>
      <w:r>
        <w:t>slashpacked</w:t>
      </w:r>
      <w:proofErr w:type="spellEnd"/>
      <w:r>
        <w:t>, and Walked-in treatments.</w:t>
      </w:r>
    </w:p>
    <w:p w14:paraId="3627C051" w14:textId="701B6A1C" w:rsidR="00EB5176" w:rsidRDefault="00EB5176" w:rsidP="008F54B5">
      <w:pPr>
        <w:pStyle w:val="ListParagraph"/>
        <w:numPr>
          <w:ilvl w:val="0"/>
          <w:numId w:val="37"/>
        </w:numPr>
        <w:spacing w:after="60"/>
      </w:pPr>
      <w:r>
        <w:t xml:space="preserve">Surface roughness: Surface roughness showed no differences in the plots. Roughness in the outlets was more variable within each treatment than in the plots, and none of the treatments appeared to affect surface roughness.  </w:t>
      </w:r>
    </w:p>
    <w:p w14:paraId="2E09B88C" w14:textId="56800CBB" w:rsidR="00EB5176" w:rsidRDefault="00EB5176" w:rsidP="008F54B5">
      <w:pPr>
        <w:pStyle w:val="ListParagraph"/>
        <w:numPr>
          <w:ilvl w:val="0"/>
          <w:numId w:val="37"/>
        </w:numPr>
        <w:spacing w:after="60"/>
      </w:pPr>
      <w:r>
        <w:t xml:space="preserve">Runoff velocity: The plot runoff velocities were lower for the treatments where slash was added to the skid trails (Slash-covered and Walked-in). All treatments had lower runoff velocities in the outlets than the Controls, particularly where slash was added to the </w:t>
      </w:r>
      <w:proofErr w:type="spellStart"/>
      <w:r>
        <w:t>waterbar</w:t>
      </w:r>
      <w:proofErr w:type="spellEnd"/>
      <w:r>
        <w:t xml:space="preserve"> outlets.</w:t>
      </w:r>
    </w:p>
    <w:p w14:paraId="5FC57BBC" w14:textId="396EC6FD" w:rsidR="00D05834" w:rsidRDefault="00EB5176" w:rsidP="008F54B5">
      <w:pPr>
        <w:pStyle w:val="ListParagraph"/>
        <w:numPr>
          <w:ilvl w:val="0"/>
          <w:numId w:val="37"/>
        </w:numPr>
        <w:spacing w:after="60"/>
      </w:pPr>
      <w:r>
        <w:t xml:space="preserve">Runoff rate: Runoff rates across all treatments were highly variable. Runoff rates in the Double-drainage treatment were lower than the Controls because of the higher frequency of </w:t>
      </w:r>
      <w:proofErr w:type="spellStart"/>
      <w:r>
        <w:t>waterbars</w:t>
      </w:r>
      <w:proofErr w:type="spellEnd"/>
      <w:r>
        <w:t xml:space="preserve"> and shorter plot lengths. Runoff rates in the Slash-covered and Walked-in treatments were lower than the Controls. </w:t>
      </w:r>
    </w:p>
    <w:p w14:paraId="69D49E7E" w14:textId="1CD125A9" w:rsidR="00EB5176" w:rsidRDefault="00EB5176" w:rsidP="008F54B5">
      <w:pPr>
        <w:pStyle w:val="ListParagraph"/>
        <w:numPr>
          <w:ilvl w:val="0"/>
          <w:numId w:val="37"/>
        </w:numPr>
        <w:spacing w:after="60"/>
      </w:pPr>
      <w:r>
        <w:t>Sediment concentration: Sediment concentrations were similar at the plot sample location across treatments except for the Slash-covered, which was slightly lower. At the outlets, there was no difference in sediment concentration between the Controls and Double-drainage treatments, and the Slash-covered, Slash-packed, and Walked-in treatments had lower concentrations. Sediment rating curves still need to be constructed to allow sediment yields to be calculated.</w:t>
      </w:r>
    </w:p>
    <w:p w14:paraId="169B52D5" w14:textId="6BB89FBB" w:rsidR="00D05834" w:rsidRDefault="00D05834" w:rsidP="00B60150">
      <w:r>
        <w:t xml:space="preserve">Additional characterizations of hydraulic roughness and erosion may also be generated using structure for motion photogrammetry. The main conclusions to date from this study are that (1) reducing the distance </w:t>
      </w:r>
      <w:r>
        <w:lastRenderedPageBreak/>
        <w:t xml:space="preserve">between </w:t>
      </w:r>
      <w:proofErr w:type="spellStart"/>
      <w:r>
        <w:t>waterbars</w:t>
      </w:r>
      <w:proofErr w:type="spellEnd"/>
      <w:r>
        <w:t xml:space="preserve"> ha</w:t>
      </w:r>
      <w:r w:rsidR="00EB5176">
        <w:t>s</w:t>
      </w:r>
      <w:r>
        <w:t xml:space="preserve"> little effect on sediment delivery, and (2) the addition of slash to </w:t>
      </w:r>
      <w:proofErr w:type="spellStart"/>
      <w:r>
        <w:t>waterbar</w:t>
      </w:r>
      <w:proofErr w:type="spellEnd"/>
      <w:r>
        <w:t xml:space="preserve"> outlets has a greater influence on sediment delivery than slash added to the skid trails. The value of slash packing the outlets of skid trails following salvage logging operations validates the existing FPRs, which state that</w:t>
      </w:r>
      <w:r w:rsidR="00EB5176">
        <w:t>,</w:t>
      </w:r>
      <w:r>
        <w:t xml:space="preserve"> “</w:t>
      </w:r>
      <w:r w:rsidR="00EB5176">
        <w:t>W</w:t>
      </w:r>
      <w:r>
        <w:t xml:space="preserve">here </w:t>
      </w:r>
      <w:proofErr w:type="spellStart"/>
      <w:r>
        <w:t>waterbreaks</w:t>
      </w:r>
      <w:proofErr w:type="spellEnd"/>
      <w:r>
        <w:t xml:space="preserve"> cannot effectively disperse surface runoff, including where </w:t>
      </w:r>
      <w:proofErr w:type="spellStart"/>
      <w:r>
        <w:t>waterbreaks</w:t>
      </w:r>
      <w:proofErr w:type="spellEnd"/>
      <w:r>
        <w:t xml:space="preserve"> on roads and skid trail cause surface runoff to be concentrated on downslopes, roads or skid trails, other erosion controls shall be installed as needed…(914.6 [934.6, 954.6](f)).” Since roads and skid trails share similar properties and similar rule requirements (e.g., 914.6, 934.6, 954.6), results from this study may also apply to elements of the “Road Rules”, specifically to elements of 923.5, 943.5, 963.5.</w:t>
      </w:r>
    </w:p>
    <w:p w14:paraId="24D4B056" w14:textId="7EB00B2E" w:rsidR="004468AF" w:rsidRPr="00AC12D9" w:rsidRDefault="003A5328" w:rsidP="00B60150">
      <w:r>
        <w:t xml:space="preserve">In related research, </w:t>
      </w:r>
      <w:r w:rsidR="004468AF" w:rsidRPr="00723B0C">
        <w:t xml:space="preserve">Dr. Joe </w:t>
      </w:r>
      <w:proofErr w:type="spellStart"/>
      <w:r w:rsidR="004468AF" w:rsidRPr="00723B0C">
        <w:t>Wagenbrenner</w:t>
      </w:r>
      <w:proofErr w:type="spellEnd"/>
      <w:r w:rsidR="004468AF" w:rsidRPr="00723B0C">
        <w:t xml:space="preserve"> provided a presentation titled</w:t>
      </w:r>
      <w:r w:rsidR="008406B5">
        <w:t>,</w:t>
      </w:r>
      <w:r w:rsidR="004468AF" w:rsidRPr="00723B0C">
        <w:t xml:space="preserve"> “Post-Fire Salvage Logging Effects on Soils, Runoff, and Sediment Production in Western Watersheds,” posted at </w:t>
      </w:r>
      <w:hyperlink r:id="rId21" w:history="1">
        <w:r w:rsidR="004468AF" w:rsidRPr="008F54B5">
          <w:rPr>
            <w:rStyle w:val="Hyperlink"/>
            <w:rFonts w:eastAsia="Times New Roman"/>
          </w:rPr>
          <w:t>https://www.youtube.com/watch?v=MakVum6U_vE&amp;list=PL-u4XN2GJZIgtKEmz0WxPWpwfUtchxvV_&amp;index=3</w:t>
        </w:r>
      </w:hyperlink>
      <w:r w:rsidR="00AC12D9" w:rsidRPr="00723B0C">
        <w:rPr>
          <w:rStyle w:val="Hyperlink"/>
          <w:rFonts w:eastAsia="Times New Roman"/>
          <w:u w:val="none"/>
        </w:rPr>
        <w:t xml:space="preserve">. </w:t>
      </w:r>
      <w:r w:rsidR="004468AF" w:rsidRPr="00723B0C">
        <w:t>The presentation was recorded on April 5, 2021</w:t>
      </w:r>
      <w:r w:rsidR="00AC12D9">
        <w:t xml:space="preserve"> </w:t>
      </w:r>
      <w:r w:rsidR="004468AF" w:rsidRPr="00723B0C">
        <w:t xml:space="preserve">and was part of a </w:t>
      </w:r>
      <w:r w:rsidR="000060DE">
        <w:t xml:space="preserve">Salvage Webinar </w:t>
      </w:r>
      <w:r w:rsidR="004468AF" w:rsidRPr="00723B0C">
        <w:t>series co-hosted by the Rocky Mountain Research Station, Northern Rockies Fire Science Network, Southern Rockies Fire Science Network, and the Northwest Fire Science Consortium.</w:t>
      </w:r>
    </w:p>
    <w:p w14:paraId="17CB872F" w14:textId="6ED46FAA" w:rsidR="00AC12D9" w:rsidRDefault="00B2268B" w:rsidP="000333B1">
      <w:pPr>
        <w:pStyle w:val="Heading2"/>
        <w:rPr>
          <w:u w:val="none"/>
        </w:rPr>
      </w:pPr>
      <w:r w:rsidRPr="00BD76E6">
        <w:t>EMC-2016-003: Road Rules Effectiveness at Reducing Mass Wasting (Repeat LiDAR Surveys to Detect Landslides</w:t>
      </w:r>
      <w:r w:rsidR="006D431D" w:rsidRPr="00BD76E6">
        <w:t>)</w:t>
      </w:r>
    </w:p>
    <w:p w14:paraId="72CEE66B" w14:textId="7E039DA6" w:rsidR="009D1986" w:rsidRDefault="00B2268B" w:rsidP="00B60150">
      <w:r w:rsidRPr="008F54B5">
        <w:t xml:space="preserve">The processing of the LiDAR data by the USGS and its contractors was delayed due to </w:t>
      </w:r>
      <w:r w:rsidR="00DE0971" w:rsidRPr="008F54B5">
        <w:t>COVID-19</w:t>
      </w:r>
      <w:r w:rsidRPr="008F54B5">
        <w:t xml:space="preserve"> response and by prioritizing processing of </w:t>
      </w:r>
      <w:r w:rsidR="00DE0971" w:rsidRPr="008F54B5">
        <w:t>LiDAR</w:t>
      </w:r>
      <w:r w:rsidRPr="008F54B5">
        <w:t xml:space="preserve"> data from ar</w:t>
      </w:r>
      <w:r w:rsidR="00DE0971" w:rsidRPr="008F54B5">
        <w:t>eas affected by wildfires.</w:t>
      </w:r>
      <w:r w:rsidR="00AC12D9" w:rsidRPr="00773B8F">
        <w:t xml:space="preserve"> At the April 21, 2021 meeting, </w:t>
      </w:r>
      <w:r w:rsidR="00AC12D9" w:rsidRPr="008F54B5">
        <w:t xml:space="preserve">Member </w:t>
      </w:r>
      <w:r w:rsidR="00B13F3B" w:rsidRPr="008F54B5">
        <w:t>Short reported that LiDAR delivery from the USGS</w:t>
      </w:r>
      <w:r w:rsidR="00AC12D9" w:rsidRPr="008F54B5">
        <w:t xml:space="preserve"> was still delated. At the </w:t>
      </w:r>
      <w:r w:rsidR="009D1986" w:rsidRPr="00773B8F">
        <w:t>Jul</w:t>
      </w:r>
      <w:r w:rsidR="00AC12D9" w:rsidRPr="00773B8F">
        <w:t>y</w:t>
      </w:r>
      <w:r w:rsidR="009D1986" w:rsidRPr="00773B8F">
        <w:t xml:space="preserve"> 21</w:t>
      </w:r>
      <w:r w:rsidR="00AC12D9" w:rsidRPr="00773B8F">
        <w:t xml:space="preserve">, 2021 EMC meeting, Member </w:t>
      </w:r>
      <w:r w:rsidR="009D1986" w:rsidRPr="008F54B5">
        <w:t xml:space="preserve">Short informed the </w:t>
      </w:r>
      <w:r w:rsidR="00AC12D9" w:rsidRPr="008F54B5">
        <w:t xml:space="preserve">EMC </w:t>
      </w:r>
      <w:r w:rsidR="009D1986" w:rsidRPr="008F54B5">
        <w:t>that LiDAR data for Amador and El Dorado counties has been accepted, and that C</w:t>
      </w:r>
      <w:r w:rsidR="00AC12D9" w:rsidRPr="008F54B5">
        <w:t xml:space="preserve">alifornia </w:t>
      </w:r>
      <w:r w:rsidR="009D1986" w:rsidRPr="008F54B5">
        <w:t>G</w:t>
      </w:r>
      <w:r w:rsidR="00AC12D9" w:rsidRPr="008F54B5">
        <w:t xml:space="preserve">eological </w:t>
      </w:r>
      <w:r w:rsidR="009D1986" w:rsidRPr="008F54B5">
        <w:t>S</w:t>
      </w:r>
      <w:r w:rsidR="00AC12D9" w:rsidRPr="008F54B5">
        <w:t>ociety (CGS)</w:t>
      </w:r>
      <w:r w:rsidR="009D1986" w:rsidRPr="008F54B5">
        <w:t xml:space="preserve"> should be getting the data in the next few weeks</w:t>
      </w:r>
      <w:r w:rsidR="00AC12D9" w:rsidRPr="008F54B5">
        <w:t xml:space="preserve">, and would be </w:t>
      </w:r>
      <w:r w:rsidR="009D1986" w:rsidRPr="008F54B5">
        <w:t>uploaded to the national USGS site (</w:t>
      </w:r>
      <w:hyperlink r:id="rId22" w:history="1">
        <w:r w:rsidR="00F6399E" w:rsidRPr="008F54B5">
          <w:rPr>
            <w:rStyle w:val="Hyperlink"/>
          </w:rPr>
          <w:t>https://www.usgs.gov/core-science-systems/ngp/tnm-delivery/gis-data-download</w:t>
        </w:r>
      </w:hyperlink>
      <w:r w:rsidR="009D1986" w:rsidRPr="008F54B5">
        <w:t>).</w:t>
      </w:r>
    </w:p>
    <w:p w14:paraId="72EAC21F" w14:textId="426B410A" w:rsidR="00F6399E" w:rsidRPr="002F6FD0" w:rsidRDefault="000060DE" w:rsidP="00B60150">
      <w:r>
        <w:t xml:space="preserve">At the </w:t>
      </w:r>
      <w:r w:rsidR="00F6399E">
        <w:t xml:space="preserve">Oct 21, 2021 </w:t>
      </w:r>
      <w:r>
        <w:t xml:space="preserve">EMC Meeting, Member O’Connor and Member Bill Short </w:t>
      </w:r>
      <w:r w:rsidR="00F6399E">
        <w:t xml:space="preserve">provided </w:t>
      </w:r>
      <w:r>
        <w:t xml:space="preserve">a project update. They reported that allocated </w:t>
      </w:r>
      <w:r w:rsidR="00F6399E">
        <w:t>project funds were expended in support of LiDAR acquisition to implement the project</w:t>
      </w:r>
      <w:r>
        <w:t xml:space="preserve">, and CGS was </w:t>
      </w:r>
      <w:r w:rsidR="00F6399E">
        <w:t>still awaiting the LiDAR</w:t>
      </w:r>
      <w:r>
        <w:t xml:space="preserve"> data. Once received, CGS would implement </w:t>
      </w:r>
      <w:r w:rsidR="00F6399E">
        <w:t>an investigation of sequential LiDAR as a tool for identifying</w:t>
      </w:r>
      <w:r>
        <w:t xml:space="preserve"> and </w:t>
      </w:r>
      <w:r w:rsidR="00F6399E">
        <w:t>tracking landslide</w:t>
      </w:r>
      <w:r>
        <w:t>s; the analysis is expected to occur in early 2022</w:t>
      </w:r>
      <w:r w:rsidR="00F6399E">
        <w:t>.</w:t>
      </w:r>
    </w:p>
    <w:p w14:paraId="0BC9E0F9" w14:textId="44A16E81" w:rsidR="00DE0971" w:rsidRPr="008F54B5" w:rsidRDefault="00F450E5" w:rsidP="000333B1">
      <w:pPr>
        <w:pStyle w:val="Heading2"/>
        <w:rPr>
          <w:b w:val="0"/>
          <w:bCs w:val="0"/>
          <w:u w:val="none"/>
        </w:rPr>
      </w:pPr>
      <w:r w:rsidRPr="00BD76E6">
        <w:t>EMC-2017-001</w:t>
      </w:r>
      <w:r w:rsidR="00396045" w:rsidRPr="00BD76E6">
        <w:t>:</w:t>
      </w:r>
      <w:r w:rsidRPr="00BD76E6">
        <w:t xml:space="preserve"> </w:t>
      </w:r>
      <w:r w:rsidR="00D90373" w:rsidRPr="00D90373">
        <w:t>Effects of Forest Stand Density Reduction on Nutrient Cycling and</w:t>
      </w:r>
      <w:r w:rsidR="00D90373">
        <w:t xml:space="preserve"> </w:t>
      </w:r>
      <w:r w:rsidR="00D90373" w:rsidRPr="00D90373">
        <w:t xml:space="preserve">Nutrient Transport at the Caspar Creek </w:t>
      </w:r>
      <w:r w:rsidR="00D90373" w:rsidRPr="00ED3FB7">
        <w:t>Experimental</w:t>
      </w:r>
      <w:r w:rsidR="00D90373" w:rsidRPr="00D90373">
        <w:t xml:space="preserve"> Watershed</w:t>
      </w:r>
    </w:p>
    <w:p w14:paraId="426487B9" w14:textId="77777777" w:rsidR="003F688A" w:rsidRDefault="0050286B" w:rsidP="00B60150">
      <w:r w:rsidRPr="00773B8F">
        <w:t xml:space="preserve">At the April </w:t>
      </w:r>
      <w:r w:rsidR="007C0E14">
        <w:t xml:space="preserve">21, </w:t>
      </w:r>
      <w:r w:rsidRPr="00773B8F">
        <w:t xml:space="preserve">2021 meeting, </w:t>
      </w:r>
      <w:r w:rsidR="00853703" w:rsidRPr="00773B8F">
        <w:t xml:space="preserve">Pete </w:t>
      </w:r>
      <w:proofErr w:type="spellStart"/>
      <w:r w:rsidR="00853703" w:rsidRPr="00773B8F">
        <w:t>Cafferata</w:t>
      </w:r>
      <w:proofErr w:type="spellEnd"/>
      <w:r w:rsidR="00853703" w:rsidRPr="00773B8F">
        <w:t xml:space="preserve"> reported that the pandemic imposed major restrictions on lab</w:t>
      </w:r>
      <w:r w:rsidRPr="00773B8F">
        <w:t>oratory</w:t>
      </w:r>
      <w:r w:rsidR="00853703" w:rsidRPr="00773B8F">
        <w:t xml:space="preserve"> access for cation</w:t>
      </w:r>
      <w:r w:rsidRPr="00773B8F">
        <w:t>-</w:t>
      </w:r>
      <w:r w:rsidR="00853703" w:rsidRPr="00773B8F">
        <w:t>anion analysis on 1</w:t>
      </w:r>
      <w:r w:rsidRPr="00773B8F">
        <w:t>,</w:t>
      </w:r>
      <w:r w:rsidR="00853703" w:rsidRPr="00773B8F">
        <w:t>600 remaining water samples</w:t>
      </w:r>
      <w:r w:rsidRPr="00773B8F">
        <w:t xml:space="preserve">, but that </w:t>
      </w:r>
      <w:proofErr w:type="spellStart"/>
      <w:r w:rsidR="00853703" w:rsidRPr="00773B8F">
        <w:t>Seanna</w:t>
      </w:r>
      <w:proofErr w:type="spellEnd"/>
      <w:r w:rsidR="00853703" w:rsidRPr="00773B8F">
        <w:t xml:space="preserve"> McLaughlin’s master’s thesis </w:t>
      </w:r>
      <w:r w:rsidRPr="00773B8F">
        <w:t xml:space="preserve">was </w:t>
      </w:r>
      <w:r w:rsidR="00853703" w:rsidRPr="00773B8F">
        <w:t xml:space="preserve">expected by June and a final report by the end of the calendar year. </w:t>
      </w:r>
      <w:r w:rsidR="003A5328">
        <w:t>No project deliverables were provided in 2021.</w:t>
      </w:r>
    </w:p>
    <w:p w14:paraId="63511CB1" w14:textId="79D72F17" w:rsidR="00ED3FB7" w:rsidRDefault="009F71A2" w:rsidP="003F688A">
      <w:pPr>
        <w:pStyle w:val="Heading2"/>
      </w:pPr>
      <w:r w:rsidRPr="00BD76E6">
        <w:t>EMC-2017-002: Boggs Mountain Demonstration State Forest (BMDSF) Post-Fire Automated Bird Recorders Study</w:t>
      </w:r>
      <w:r w:rsidR="00996C0C" w:rsidRPr="00996C0C">
        <w:t xml:space="preserve"> </w:t>
      </w:r>
      <w:bookmarkStart w:id="7" w:name="_Hlk89857764"/>
    </w:p>
    <w:p w14:paraId="02528431" w14:textId="7A361624" w:rsidR="009A7644" w:rsidRPr="00996C0C" w:rsidRDefault="009F71A2" w:rsidP="00B60150">
      <w:r w:rsidRPr="008F54B5">
        <w:rPr>
          <w:highlight w:val="yellow"/>
        </w:rPr>
        <w:t xml:space="preserve">The third and final year of bird recordings were made in the late spring of 2019 and the bird call interpreter completed the recording analysis in January 2020. Stacy </w:t>
      </w:r>
      <w:proofErr w:type="spellStart"/>
      <w:r w:rsidRPr="008F54B5">
        <w:rPr>
          <w:highlight w:val="yellow"/>
        </w:rPr>
        <w:t>Stanish</w:t>
      </w:r>
      <w:proofErr w:type="spellEnd"/>
      <w:r w:rsidRPr="008F54B5">
        <w:rPr>
          <w:highlight w:val="yellow"/>
        </w:rPr>
        <w:t xml:space="preserve"> is working with a CDFW statistician to analyze the data.</w:t>
      </w:r>
      <w:r w:rsidRPr="00996C0C">
        <w:rPr>
          <w:b/>
          <w:bCs/>
        </w:rPr>
        <w:t xml:space="preserve"> </w:t>
      </w:r>
      <w:bookmarkEnd w:id="7"/>
      <w:r w:rsidR="003A5328" w:rsidRPr="003A5328">
        <w:t xml:space="preserve"> </w:t>
      </w:r>
      <w:r w:rsidR="003A5328">
        <w:t>No project updates or deliverables were provided in 2021.</w:t>
      </w:r>
    </w:p>
    <w:p w14:paraId="0CE5DD7D" w14:textId="3313B83C" w:rsidR="00ED3FB7" w:rsidRDefault="009F71A2" w:rsidP="000333B1">
      <w:pPr>
        <w:pStyle w:val="Heading2"/>
      </w:pPr>
      <w:r w:rsidRPr="00BD76E6">
        <w:rPr>
          <w:rStyle w:val="il"/>
          <w:color w:val="000000"/>
          <w:szCs w:val="24"/>
        </w:rPr>
        <w:lastRenderedPageBreak/>
        <w:t>EMC</w:t>
      </w:r>
      <w:r w:rsidR="00DE0971" w:rsidRPr="00BD76E6">
        <w:t>-2017-006: Tradeoffs a</w:t>
      </w:r>
      <w:r w:rsidRPr="00BD76E6">
        <w:t>mong Riparian Buffer Zones, Fire Hazard, and Species Composition in the Sierra Nevada</w:t>
      </w:r>
    </w:p>
    <w:p w14:paraId="7865A7AD" w14:textId="6B28A1A1" w:rsidR="00035172" w:rsidRPr="00035172" w:rsidRDefault="003A5328" w:rsidP="00CA6D91">
      <w:r>
        <w:t xml:space="preserve">At the January 13, 2021 EMC Meeting, </w:t>
      </w:r>
      <w:r w:rsidRPr="00035172">
        <w:t>Katie Harrell</w:t>
      </w:r>
      <w:r>
        <w:t xml:space="preserve">, Board staff, reported that this </w:t>
      </w:r>
      <w:r w:rsidRPr="00035172">
        <w:t>project was significantly affected by COVID-19, and a contract amendment extend</w:t>
      </w:r>
      <w:r>
        <w:t>ed</w:t>
      </w:r>
      <w:r w:rsidRPr="00035172">
        <w:t xml:space="preserve"> the project to June 30, 2022. </w:t>
      </w:r>
      <w:r w:rsidR="0000028E">
        <w:t>An emailed project update was provided in September 2021, which reported that this project is near its conclusion in terms of implementation.</w:t>
      </w:r>
      <w:r w:rsidR="0000028E">
        <w:rPr>
          <w:rFonts w:ascii="Calibri" w:eastAsiaTheme="minorHAnsi" w:hAnsi="Calibri" w:cs="Calibri"/>
          <w:spacing w:val="0"/>
        </w:rPr>
        <w:t xml:space="preserve"> All </w:t>
      </w:r>
      <w:r w:rsidR="0000028E">
        <w:rPr>
          <w:rFonts w:eastAsia="Times New Roman"/>
        </w:rPr>
        <w:t xml:space="preserve">treatments were implemented, while piles remain to be burned, and the principal investigator planned to burn in the fall, weather permitting. Once burning is completed, post-treatment sampling will commence. A progress report and results will be provided in the late spring of summer of 2022. </w:t>
      </w:r>
    </w:p>
    <w:p w14:paraId="726E5517" w14:textId="10CD7C33" w:rsidR="003A5328" w:rsidRDefault="005D54AE" w:rsidP="000333B1">
      <w:pPr>
        <w:pStyle w:val="Heading2"/>
      </w:pPr>
      <w:r w:rsidRPr="00371B99">
        <w:t>EMC-2017-007: The Life Cycle of Dead Trees and Implications for Management</w:t>
      </w:r>
    </w:p>
    <w:p w14:paraId="75175AE6" w14:textId="2BFE0024" w:rsidR="00327E38" w:rsidRPr="005D54AE" w:rsidRDefault="003A5328" w:rsidP="00CA6D91">
      <w:r w:rsidRPr="006342E8">
        <w:rPr>
          <w:highlight w:val="yellow"/>
        </w:rPr>
        <w:t>This project is in a 24-ha stand at Blodgett Forest (identified as Compartment 160) where snags have been tracked for almost four decades. Dr. John Battles</w:t>
      </w:r>
      <w:r>
        <w:rPr>
          <w:highlight w:val="yellow"/>
        </w:rPr>
        <w:t xml:space="preserve"> </w:t>
      </w:r>
      <w:r w:rsidRPr="006342E8">
        <w:rPr>
          <w:highlight w:val="yellow"/>
        </w:rPr>
        <w:t>develop</w:t>
      </w:r>
      <w:r>
        <w:rPr>
          <w:highlight w:val="yellow"/>
        </w:rPr>
        <w:t>ed</w:t>
      </w:r>
      <w:r w:rsidRPr="006342E8">
        <w:rPr>
          <w:highlight w:val="yellow"/>
        </w:rPr>
        <w:t xml:space="preserve"> a</w:t>
      </w:r>
      <w:r>
        <w:rPr>
          <w:highlight w:val="yellow"/>
        </w:rPr>
        <w:t xml:space="preserve"> new </w:t>
      </w:r>
      <w:r w:rsidRPr="006342E8">
        <w:rPr>
          <w:highlight w:val="yellow"/>
        </w:rPr>
        <w:t>annual snag tracking protocol at Blodgett Forest Research Station.</w:t>
      </w:r>
      <w:r>
        <w:rPr>
          <w:highlight w:val="yellow"/>
        </w:rPr>
        <w:t xml:space="preserve"> </w:t>
      </w:r>
      <w:r w:rsidRPr="006342E8">
        <w:rPr>
          <w:highlight w:val="yellow"/>
        </w:rPr>
        <w:t>The first annual inventory using the new monitoring protocol was completed in 2020. A retrospective study of log decay was also completed to complement the long-term study of downed wood decay rates.</w:t>
      </w:r>
      <w:r w:rsidR="0000028E">
        <w:rPr>
          <w:highlight w:val="yellow"/>
        </w:rPr>
        <w:t xml:space="preserve"> </w:t>
      </w:r>
      <w:r w:rsidR="0000028E">
        <w:t xml:space="preserve">This </w:t>
      </w:r>
      <w:r>
        <w:t xml:space="preserve">project </w:t>
      </w:r>
      <w:r w:rsidR="0000028E">
        <w:t>is complete, and results are expected in spring of 2022</w:t>
      </w:r>
      <w:r>
        <w:t xml:space="preserve">. </w:t>
      </w:r>
    </w:p>
    <w:p w14:paraId="6F85802F" w14:textId="71E6ACE3" w:rsidR="002543DF" w:rsidRDefault="00A25336" w:rsidP="000333B1">
      <w:pPr>
        <w:pStyle w:val="Heading2"/>
      </w:pPr>
      <w:r w:rsidRPr="00BD76E6">
        <w:t>EMC-2017-008: FPRs to Minimize Fir Mortality from Root Diseases</w:t>
      </w:r>
    </w:p>
    <w:p w14:paraId="3A6F1ADB" w14:textId="0FE60551" w:rsidR="00B52BD6" w:rsidRPr="008F54B5" w:rsidRDefault="002543DF" w:rsidP="00CA6D91">
      <w:pPr>
        <w:rPr>
          <w:spacing w:val="0"/>
        </w:rPr>
      </w:pPr>
      <w:r w:rsidRPr="008F54B5">
        <w:t xml:space="preserve">At the </w:t>
      </w:r>
      <w:r w:rsidR="00B52BD6" w:rsidRPr="008F54B5">
        <w:t>Oct</w:t>
      </w:r>
      <w:r w:rsidRPr="008F54B5">
        <w:t>ober</w:t>
      </w:r>
      <w:r w:rsidR="00B52BD6" w:rsidRPr="008F54B5">
        <w:t xml:space="preserve"> 21, 2021 </w:t>
      </w:r>
      <w:r w:rsidRPr="00723B0C">
        <w:t xml:space="preserve">EMC Meeting, </w:t>
      </w:r>
      <w:r w:rsidR="00B52BD6" w:rsidRPr="008F54B5">
        <w:t xml:space="preserve">Richard </w:t>
      </w:r>
      <w:r w:rsidRPr="00723B0C">
        <w:t xml:space="preserve">Cobb </w:t>
      </w:r>
      <w:r w:rsidR="005159AC">
        <w:t>reported that s</w:t>
      </w:r>
      <w:r w:rsidR="00B52BD6" w:rsidRPr="008F54B5">
        <w:t xml:space="preserve">everal publications </w:t>
      </w:r>
      <w:r w:rsidRPr="00723B0C">
        <w:t xml:space="preserve">were </w:t>
      </w:r>
      <w:r w:rsidR="00B52BD6" w:rsidRPr="008F54B5">
        <w:t>in development, recently submitted, or in review</w:t>
      </w:r>
      <w:r w:rsidRPr="00723B0C">
        <w:t xml:space="preserve">, and a final project presentation </w:t>
      </w:r>
      <w:r w:rsidR="005159AC">
        <w:t xml:space="preserve">would </w:t>
      </w:r>
      <w:r w:rsidRPr="00723B0C">
        <w:t>be provided to the EMC in early 2022.</w:t>
      </w:r>
    </w:p>
    <w:p w14:paraId="002C36D2" w14:textId="0666B6E4" w:rsidR="002543DF" w:rsidRDefault="00CF7C9B" w:rsidP="000333B1">
      <w:pPr>
        <w:pStyle w:val="Heading2"/>
        <w:rPr>
          <w:bdr w:val="none" w:sz="0" w:space="0" w:color="auto" w:frame="1"/>
          <w:shd w:val="clear" w:color="auto" w:fill="FFFFFF"/>
        </w:rPr>
      </w:pPr>
      <w:r w:rsidRPr="00BD76E6">
        <w:rPr>
          <w:bdr w:val="none" w:sz="0" w:space="0" w:color="auto" w:frame="1"/>
          <w:shd w:val="clear" w:color="auto" w:fill="FFFFFF"/>
        </w:rPr>
        <w:t>EMC-2018-003: Alternative Meadow Restoration</w:t>
      </w:r>
    </w:p>
    <w:p w14:paraId="5D74C93B" w14:textId="4AFE7452" w:rsidR="00A25336" w:rsidRDefault="002543DF" w:rsidP="00CA6D91">
      <w:r>
        <w:t xml:space="preserve">At the </w:t>
      </w:r>
      <w:r w:rsidR="00B13F3B">
        <w:t>Apr</w:t>
      </w:r>
      <w:r>
        <w:t>il</w:t>
      </w:r>
      <w:r w:rsidR="00B13F3B">
        <w:t xml:space="preserve"> 21</w:t>
      </w:r>
      <w:r>
        <w:t xml:space="preserve">, 2021 meeting, Member </w:t>
      </w:r>
      <w:r w:rsidR="00B13F3B">
        <w:t xml:space="preserve">O’Connor reported that due to extremely low winter precipitation, no meadow streamflow was recorded, greatly complicating </w:t>
      </w:r>
      <w:r>
        <w:t xml:space="preserve">measurement of </w:t>
      </w:r>
      <w:r w:rsidR="00B13F3B">
        <w:t>treatment effects. Field work continue</w:t>
      </w:r>
      <w:r w:rsidR="0000028E">
        <w:t>d</w:t>
      </w:r>
      <w:r w:rsidR="00B13F3B">
        <w:t xml:space="preserve"> during the pandemic</w:t>
      </w:r>
      <w:r>
        <w:t xml:space="preserve">, however. The last funds </w:t>
      </w:r>
      <w:r w:rsidRPr="003B2E02">
        <w:t>were allocated in August of 2021, and analyses were ongoing</w:t>
      </w:r>
      <w:r w:rsidR="0000028E">
        <w:t xml:space="preserve"> </w:t>
      </w:r>
      <w:r w:rsidR="003B2E02" w:rsidRPr="003B2E02">
        <w:t xml:space="preserve">and expected to be </w:t>
      </w:r>
      <w:r w:rsidR="003B2E02" w:rsidRPr="008F54B5">
        <w:rPr>
          <w:bdr w:val="none" w:sz="0" w:space="0" w:color="auto" w:frame="1"/>
          <w:shd w:val="clear" w:color="auto" w:fill="FFFFFF"/>
        </w:rPr>
        <w:t>completed in spring 2022</w:t>
      </w:r>
      <w:r w:rsidRPr="003B2E02">
        <w:t xml:space="preserve">. </w:t>
      </w:r>
    </w:p>
    <w:p w14:paraId="58458BC8" w14:textId="1EC15245" w:rsidR="003B2E02" w:rsidRPr="003B2E02" w:rsidRDefault="003B2E02" w:rsidP="00CA6D91">
      <w:r w:rsidRPr="006342E8">
        <w:rPr>
          <w:highlight w:val="yellow"/>
          <w:bdr w:val="none" w:sz="0" w:space="0" w:color="auto" w:frame="1"/>
          <w:shd w:val="clear" w:color="auto" w:fill="FFFFFF"/>
        </w:rPr>
        <w:t>A Master of Science (MS) thesis will be completed analyzing the pre-treatment lodgepole pine sap flow and pre-treatment statistical analysis of the hydrologic instruments in June 2021. An MS thesis on the Rock Creek vegetation response and Rock Creek and Marian Meadow post-treatment hydrologic response of 1-year and 6-years post treatment, respectively, will be completed by spring 2022. Additionally, an MS project on the soil disturbance and stream habitat response the first year following alternative treatment at Rock Creek will be completed in September 2021.</w:t>
      </w:r>
    </w:p>
    <w:p w14:paraId="3FCA1B69" w14:textId="0BD7EAB0" w:rsidR="003B2E02" w:rsidRDefault="00B2268B" w:rsidP="000333B1">
      <w:pPr>
        <w:pStyle w:val="Heading2"/>
      </w:pPr>
      <w:r w:rsidRPr="00BD76E6">
        <w:t>EMC-2018-006: Class II Watercourse and Lake Protection Zone</w:t>
      </w:r>
    </w:p>
    <w:p w14:paraId="7296A171" w14:textId="62547897" w:rsidR="00853703" w:rsidRPr="00FD2E75" w:rsidRDefault="003B2E02" w:rsidP="00CA6D91">
      <w:r w:rsidRPr="00FD2E75">
        <w:t xml:space="preserve">At the </w:t>
      </w:r>
      <w:r w:rsidR="00853703" w:rsidRPr="00FD2E75">
        <w:t>Apr</w:t>
      </w:r>
      <w:r w:rsidRPr="00FD2E75">
        <w:t>il</w:t>
      </w:r>
      <w:r w:rsidR="00853703" w:rsidRPr="00FD2E75">
        <w:t xml:space="preserve"> 21</w:t>
      </w:r>
      <w:r w:rsidRPr="00FD2E75">
        <w:t xml:space="preserve">, 2021 EMC meeting, Member </w:t>
      </w:r>
      <w:r w:rsidR="00853703" w:rsidRPr="00FD2E75">
        <w:t xml:space="preserve">Matt House announced that harvesting occurred in 2020, and 2021 post-harvest data </w:t>
      </w:r>
      <w:r w:rsidRPr="00FD2E75">
        <w:t xml:space="preserve">were </w:t>
      </w:r>
      <w:r w:rsidR="00853703" w:rsidRPr="00FD2E75">
        <w:t xml:space="preserve">being collected. Green Diamond Resource Company staff </w:t>
      </w:r>
      <w:r w:rsidRPr="00FD2E75">
        <w:t xml:space="preserve">had </w:t>
      </w:r>
      <w:r w:rsidR="00853703" w:rsidRPr="00FD2E75">
        <w:t xml:space="preserve">supplemented </w:t>
      </w:r>
      <w:r w:rsidRPr="00FD2E75">
        <w:t xml:space="preserve">Oregon State University </w:t>
      </w:r>
      <w:r w:rsidR="00853703" w:rsidRPr="00FD2E75">
        <w:t>staff</w:t>
      </w:r>
      <w:r w:rsidRPr="00FD2E75">
        <w:t xml:space="preserve"> </w:t>
      </w:r>
      <w:r w:rsidR="00853703" w:rsidRPr="00FD2E75">
        <w:t xml:space="preserve">due to field limitations related to the pandemic. Austin Wissler scaled back his study to a master’s project, </w:t>
      </w:r>
      <w:r w:rsidRPr="00FD2E75">
        <w:t xml:space="preserve">and </w:t>
      </w:r>
      <w:r w:rsidR="00853703" w:rsidRPr="00FD2E75">
        <w:t xml:space="preserve">Drs. Bladon and Segura </w:t>
      </w:r>
      <w:r w:rsidRPr="00FD2E75">
        <w:t>we</w:t>
      </w:r>
      <w:r w:rsidR="00853703" w:rsidRPr="00FD2E75">
        <w:t xml:space="preserve">re pursuing a post-doc to continue the project. </w:t>
      </w:r>
    </w:p>
    <w:p w14:paraId="774E4D95" w14:textId="6B797361" w:rsidR="003B2E02" w:rsidRPr="008F54B5" w:rsidRDefault="003B2E02" w:rsidP="00CA6D91">
      <w:r w:rsidRPr="00723B0C">
        <w:t xml:space="preserve">At the </w:t>
      </w:r>
      <w:r w:rsidR="004B54FF" w:rsidRPr="00723B0C">
        <w:t>Jul</w:t>
      </w:r>
      <w:r w:rsidRPr="00723B0C">
        <w:t>y</w:t>
      </w:r>
      <w:r w:rsidR="004B54FF" w:rsidRPr="00723B0C">
        <w:t xml:space="preserve"> 21</w:t>
      </w:r>
      <w:r w:rsidRPr="00723B0C">
        <w:t xml:space="preserve">, 2021 EMC meeting, </w:t>
      </w:r>
      <w:r w:rsidR="004B54FF" w:rsidRPr="008F54B5">
        <w:t>Dr. Kevin Bladon</w:t>
      </w:r>
      <w:r w:rsidRPr="008F54B5">
        <w:t xml:space="preserve"> </w:t>
      </w:r>
      <w:r w:rsidR="004B54FF" w:rsidRPr="008F54B5">
        <w:t xml:space="preserve">provided a </w:t>
      </w:r>
      <w:r w:rsidRPr="008F54B5">
        <w:t xml:space="preserve">recorded </w:t>
      </w:r>
      <w:r w:rsidR="004B54FF" w:rsidRPr="008F54B5">
        <w:t xml:space="preserve">video </w:t>
      </w:r>
      <w:r w:rsidRPr="008F54B5">
        <w:t xml:space="preserve">(see the EMC webpage link: </w:t>
      </w:r>
      <w:hyperlink r:id="rId23" w:history="1">
        <w:r w:rsidRPr="008F54B5">
          <w:rPr>
            <w:rStyle w:val="Hyperlink"/>
          </w:rPr>
          <w:t>https://bof.fire.ca.gov/media/5uie1e1g/bladonsegura_emcupdate_2021-07-21.mp4</w:t>
        </w:r>
      </w:hyperlink>
      <w:r w:rsidRPr="008F54B5">
        <w:t xml:space="preserve">) </w:t>
      </w:r>
      <w:r w:rsidR="004B54FF" w:rsidRPr="008F54B5">
        <w:t xml:space="preserve">and </w:t>
      </w:r>
      <w:r w:rsidRPr="008F54B5">
        <w:t xml:space="preserve">progress </w:t>
      </w:r>
      <w:r w:rsidR="004B54FF" w:rsidRPr="008F54B5">
        <w:t xml:space="preserve">presentation on </w:t>
      </w:r>
      <w:r w:rsidRPr="008F54B5">
        <w:t xml:space="preserve">this project </w:t>
      </w:r>
      <w:r w:rsidR="004B54FF" w:rsidRPr="008F54B5">
        <w:t xml:space="preserve">being conducted on Green Diamond Resource Company (GDRC) timberlands in Humboldt County. There are 18 watersheds included in the study—six reference watersheds and four of </w:t>
      </w:r>
      <w:r w:rsidR="004B54FF" w:rsidRPr="008F54B5">
        <w:lastRenderedPageBreak/>
        <w:t xml:space="preserve">each of the three riparian treatments. Treatment watersheds were all harvested in 2020 with one of the three treatments: (a) Coastal Anadromy Zone ASP Class II-L Prescription (30-ft core zone, 70-ft inner zone with 80% overstory canopy cover), (b) GDRC Habitat Conservation Plan Prescription (30-ft inner zone with 85% overstory canopy, 70-ft outer zone with 70% overstory canopy cover), or (c) an alternative prescription resembling pre-ASP (&amp; Threatened or Impaired Watersheds (T/I) Rule Package) requirements (100-ft zone with 50% overstory canopy). </w:t>
      </w:r>
    </w:p>
    <w:p w14:paraId="16DE5BEE" w14:textId="1F2007FE" w:rsidR="003B2E02" w:rsidRPr="008F54B5" w:rsidRDefault="004B54FF" w:rsidP="00CA6D91">
      <w:r w:rsidRPr="008F54B5">
        <w:t xml:space="preserve">There are six circular 1/10 acre fixed-area plots in the riparian area of each watershed to quantify pre- and post-harvest tree condition, species, diameter at breast height (DBH), basal area, and canopy closure from hemispherical photographs. Stream discharge is being measured with salt solution gaging, and dissolved oxygen (DO) and photosynthetically active radiation (PAR) </w:t>
      </w:r>
      <w:r w:rsidR="00CA6D91" w:rsidRPr="0099757A">
        <w:t xml:space="preserve">(radiation reaching the stream) </w:t>
      </w:r>
      <w:r w:rsidRPr="008F54B5">
        <w:t xml:space="preserve">data are also being recorded. Longitudinally along each of the 18 stream reaches (1,000 feet) there are four air temperature sensors and 12 stream temperature sensors (288 total sensors). Two centrally located meteorological stations are also maintained to quantify precipitation, air temperature, wind speed, soil moisture, and relative humidity. Additionally, 27 groundwater wells have been installed to document how water is routed to stream channels. All automated sensors have been set up to collect data at 15-minute intervals. </w:t>
      </w:r>
    </w:p>
    <w:p w14:paraId="30736ED3" w14:textId="78AF5F69" w:rsidR="004B54FF" w:rsidRPr="0099757A" w:rsidRDefault="004B54FF" w:rsidP="00CA6D91">
      <w:r w:rsidRPr="008F54B5">
        <w:t>Pre-harvest mensuration data presented show that the three treatment sites and the controls are generally comparable when considering the mean number of trees per acre, basal area, canopy closure, and leaf area index (LAI). Annual precipitation was only approximately 50% of the long-term average during the winter of 2019</w:t>
      </w:r>
      <w:r w:rsidR="00FD2E75">
        <w:t>–</w:t>
      </w:r>
      <w:r w:rsidRPr="0099757A">
        <w:t xml:space="preserve">2020, but air temperatures were close to average. Stream discharge was similar in the reference and pre-ASP watersheds, but considerably lower in the ASP basins. Very limited flow response is expected due to the very low WLPZ harvest rates. </w:t>
      </w:r>
    </w:p>
    <w:p w14:paraId="2899F252" w14:textId="1C032283" w:rsidR="00495F03" w:rsidRPr="00723B0C" w:rsidRDefault="004B54FF" w:rsidP="00CA6D91">
      <w:r w:rsidRPr="0099757A">
        <w:t>Preliminary stream temperature data show little evidence of discrete locations of groundwater discharge or spring inputs (i.e., stable temperature moving in a downstream direction). Plots of stream temperature for reference watersheds vs. ASP and HCP basins show no effect, while pre-ASP basins show a harvest effect, with increases of ~0.3</w:t>
      </w:r>
      <w:r w:rsidR="00CA6D91" w:rsidRPr="00CA6D91">
        <w:rPr>
          <w:position w:val="8"/>
          <w:vertAlign w:val="subscript"/>
        </w:rPr>
        <w:t>°</w:t>
      </w:r>
      <w:r w:rsidRPr="0099757A">
        <w:t>C (0.5</w:t>
      </w:r>
      <w:r w:rsidR="00CA6D91" w:rsidRPr="00CA6D91">
        <w:rPr>
          <w:position w:val="8"/>
          <w:vertAlign w:val="subscript"/>
        </w:rPr>
        <w:t>°</w:t>
      </w:r>
      <w:r w:rsidRPr="0099757A">
        <w:t xml:space="preserve">F). </w:t>
      </w:r>
      <w:r w:rsidR="00CA6D91">
        <w:t>P</w:t>
      </w:r>
      <w:r w:rsidR="00CA6D91" w:rsidRPr="008F54B5">
        <w:t xml:space="preserve">hotosynthetically active radiation </w:t>
      </w:r>
      <w:r w:rsidRPr="0099757A">
        <w:t xml:space="preserve">data show no treatment differences, except for pre-ASP basins, where increases of 244% have been documented. Mean chlorophyll-a concentrations are slightly elevated for all the treatment basins and the reference watersheds. Monthly water chemistry grab samples for nitrogen, phosphorus, and dissolved organic carbon (DOC) do not reveal large changes to date. Next steps include continued data collection and sampling, </w:t>
      </w:r>
      <w:r w:rsidR="00DC7FF5">
        <w:t xml:space="preserve">application of Quality Assurance and Control protocols, </w:t>
      </w:r>
      <w:r w:rsidRPr="0099757A">
        <w:t xml:space="preserve">post-harvest data analyses, and publishing a stream temperature paper in early 2022 (Wissler) and a streamflow response paper in late 2022 (Nicholas). </w:t>
      </w:r>
      <w:r w:rsidRPr="0099757A">
        <w:rPr>
          <w:highlight w:val="yellow"/>
        </w:rPr>
        <w:t>A post-doctoral researcher start</w:t>
      </w:r>
      <w:r w:rsidR="00DC7FF5" w:rsidRPr="0099757A">
        <w:rPr>
          <w:highlight w:val="yellow"/>
        </w:rPr>
        <w:t>ed</w:t>
      </w:r>
      <w:r w:rsidRPr="0099757A">
        <w:rPr>
          <w:highlight w:val="yellow"/>
        </w:rPr>
        <w:t xml:space="preserve"> on the project in October 2021 to conduct longer term data analyses.</w:t>
      </w:r>
      <w:r w:rsidR="00495F03">
        <w:t xml:space="preserve"> Final </w:t>
      </w:r>
      <w:r w:rsidR="00495F03" w:rsidRPr="0099757A">
        <w:t xml:space="preserve">results </w:t>
      </w:r>
      <w:r w:rsidR="00495F03">
        <w:t xml:space="preserve">are </w:t>
      </w:r>
      <w:r w:rsidR="00495F03" w:rsidRPr="0099757A">
        <w:t>expected in 2023.</w:t>
      </w:r>
    </w:p>
    <w:p w14:paraId="1E892A6B" w14:textId="6A649F59" w:rsidR="00DC7FF5" w:rsidRDefault="00327E38" w:rsidP="000333B1">
      <w:pPr>
        <w:pStyle w:val="Heading2"/>
        <w:rPr>
          <w:color w:val="000000"/>
        </w:rPr>
      </w:pPr>
      <w:r w:rsidRPr="00B87823">
        <w:t>EMC-2019-002</w:t>
      </w:r>
      <w:r w:rsidR="009B03DC" w:rsidRPr="00B87823">
        <w:t>:</w:t>
      </w:r>
      <w:r w:rsidRPr="00B87823">
        <w:t xml:space="preserve"> Evaluating Treatment Longevity and Maintenance Needs for Fuel Reduction Projects Implemented in the Wildland Urban Interface of Plumas County, CA</w:t>
      </w:r>
    </w:p>
    <w:p w14:paraId="415ACB62" w14:textId="75E2F2CA" w:rsidR="00327E38" w:rsidRDefault="00327E38" w:rsidP="00CA6D91">
      <w:r w:rsidRPr="0099757A">
        <w:rPr>
          <w:highlight w:val="yellow"/>
        </w:rPr>
        <w:t>An online geodatabase of completed Fire Safe Council Projects is being completed with review by the Plumas County Fire Saf</w:t>
      </w:r>
      <w:r w:rsidR="002806EF" w:rsidRPr="0099757A">
        <w:rPr>
          <w:highlight w:val="yellow"/>
        </w:rPr>
        <w:t xml:space="preserve">e Council (PCFSC). Using </w:t>
      </w:r>
      <w:r w:rsidR="00F82F2E" w:rsidRPr="0099757A">
        <w:rPr>
          <w:highlight w:val="yellow"/>
        </w:rPr>
        <w:t xml:space="preserve">these </w:t>
      </w:r>
      <w:r w:rsidR="002806EF" w:rsidRPr="0099757A">
        <w:rPr>
          <w:highlight w:val="yellow"/>
        </w:rPr>
        <w:t>data, and i</w:t>
      </w:r>
      <w:r w:rsidRPr="0099757A">
        <w:rPr>
          <w:highlight w:val="yellow"/>
        </w:rPr>
        <w:t>n coordination with PCFSC</w:t>
      </w:r>
      <w:r w:rsidR="002806EF" w:rsidRPr="0099757A">
        <w:rPr>
          <w:highlight w:val="yellow"/>
        </w:rPr>
        <w:t>,</w:t>
      </w:r>
      <w:r w:rsidRPr="0099757A">
        <w:rPr>
          <w:highlight w:val="yellow"/>
        </w:rPr>
        <w:t xml:space="preserve"> six parcels were examined for the quality and condition of </w:t>
      </w:r>
      <w:r w:rsidR="002806EF" w:rsidRPr="0099757A">
        <w:rPr>
          <w:highlight w:val="yellow"/>
        </w:rPr>
        <w:t xml:space="preserve">a </w:t>
      </w:r>
      <w:r w:rsidRPr="0099757A">
        <w:rPr>
          <w:highlight w:val="yellow"/>
        </w:rPr>
        <w:t>previousl</w:t>
      </w:r>
      <w:r w:rsidR="002806EF" w:rsidRPr="0099757A">
        <w:rPr>
          <w:highlight w:val="yellow"/>
        </w:rPr>
        <w:t xml:space="preserve">y treated parcel in the La Porte Road area. </w:t>
      </w:r>
      <w:r w:rsidRPr="0099757A">
        <w:rPr>
          <w:highlight w:val="yellow"/>
        </w:rPr>
        <w:t xml:space="preserve">Several of the parcels burned and were used during </w:t>
      </w:r>
      <w:r w:rsidR="002806EF" w:rsidRPr="0099757A">
        <w:rPr>
          <w:highlight w:val="yellow"/>
        </w:rPr>
        <w:t xml:space="preserve">Claremont Fire </w:t>
      </w:r>
      <w:r w:rsidRPr="0099757A">
        <w:rPr>
          <w:highlight w:val="yellow"/>
        </w:rPr>
        <w:t>f</w:t>
      </w:r>
      <w:r w:rsidR="002806EF" w:rsidRPr="0099757A">
        <w:rPr>
          <w:highlight w:val="yellow"/>
        </w:rPr>
        <w:t>irefighting operations</w:t>
      </w:r>
      <w:r w:rsidRPr="0099757A">
        <w:rPr>
          <w:highlight w:val="yellow"/>
        </w:rPr>
        <w:t>, giving a unique opportunity to assess treatment effectiveness in terms of burn severity and facilitation of fire su</w:t>
      </w:r>
      <w:r w:rsidR="002806EF" w:rsidRPr="0099757A">
        <w:rPr>
          <w:highlight w:val="yellow"/>
        </w:rPr>
        <w:t>ppression actions.</w:t>
      </w:r>
      <w:r w:rsidRPr="0099757A">
        <w:rPr>
          <w:highlight w:val="yellow"/>
        </w:rPr>
        <w:t xml:space="preserve"> Measurements were taken of crown cover, </w:t>
      </w:r>
      <w:r w:rsidR="002806EF" w:rsidRPr="0099757A">
        <w:rPr>
          <w:highlight w:val="yellow"/>
        </w:rPr>
        <w:t>diameter at breast height</w:t>
      </w:r>
      <w:r w:rsidRPr="0099757A">
        <w:rPr>
          <w:highlight w:val="yellow"/>
        </w:rPr>
        <w:t>, basal area, species composition</w:t>
      </w:r>
      <w:r w:rsidR="002806EF" w:rsidRPr="0099757A">
        <w:rPr>
          <w:highlight w:val="yellow"/>
        </w:rPr>
        <w:t>,</w:t>
      </w:r>
      <w:r w:rsidRPr="0099757A">
        <w:rPr>
          <w:highlight w:val="yellow"/>
        </w:rPr>
        <w:t xml:space="preserve"> and </w:t>
      </w:r>
      <w:r w:rsidRPr="0099757A">
        <w:rPr>
          <w:highlight w:val="yellow"/>
        </w:rPr>
        <w:lastRenderedPageBreak/>
        <w:t>fi</w:t>
      </w:r>
      <w:r w:rsidR="00981427" w:rsidRPr="0099757A">
        <w:rPr>
          <w:highlight w:val="yellow"/>
        </w:rPr>
        <w:t xml:space="preserve">re effects, when applicable. </w:t>
      </w:r>
      <w:r w:rsidRPr="0099757A">
        <w:rPr>
          <w:highlight w:val="yellow"/>
        </w:rPr>
        <w:t>Photographs of the treatment were taken in the four cardinal directions with a GPS point</w:t>
      </w:r>
      <w:r w:rsidR="00981427" w:rsidRPr="0099757A">
        <w:rPr>
          <w:highlight w:val="yellow"/>
        </w:rPr>
        <w:t xml:space="preserve"> taken at the sampling point. </w:t>
      </w:r>
      <w:r w:rsidRPr="0099757A">
        <w:rPr>
          <w:highlight w:val="yellow"/>
        </w:rPr>
        <w:t>Planning is underway to visit parcels in Whitehawk, East Quincy, a</w:t>
      </w:r>
      <w:r w:rsidR="002806EF" w:rsidRPr="0099757A">
        <w:rPr>
          <w:highlight w:val="yellow"/>
        </w:rPr>
        <w:t>nd Clio, weather p</w:t>
      </w:r>
      <w:r w:rsidR="00981427" w:rsidRPr="0099757A">
        <w:rPr>
          <w:highlight w:val="yellow"/>
        </w:rPr>
        <w:t>ermitting.</w:t>
      </w:r>
      <w:r w:rsidRPr="0099757A">
        <w:rPr>
          <w:highlight w:val="yellow"/>
        </w:rPr>
        <w:t xml:space="preserve"> All subsequen</w:t>
      </w:r>
      <w:r w:rsidR="002806EF" w:rsidRPr="0099757A">
        <w:rPr>
          <w:highlight w:val="yellow"/>
        </w:rPr>
        <w:t xml:space="preserve">t visits will incorporate drone </w:t>
      </w:r>
      <w:r w:rsidRPr="0099757A">
        <w:rPr>
          <w:highlight w:val="yellow"/>
        </w:rPr>
        <w:t>flights and 360°</w:t>
      </w:r>
      <w:r w:rsidR="002806EF" w:rsidRPr="0099757A">
        <w:rPr>
          <w:highlight w:val="yellow"/>
        </w:rPr>
        <w:t xml:space="preserve"> </w:t>
      </w:r>
      <w:r w:rsidRPr="0099757A">
        <w:rPr>
          <w:highlight w:val="yellow"/>
        </w:rPr>
        <w:t>photographs. When possible</w:t>
      </w:r>
      <w:r w:rsidR="002806EF" w:rsidRPr="0099757A">
        <w:rPr>
          <w:highlight w:val="yellow"/>
        </w:rPr>
        <w:t>,</w:t>
      </w:r>
      <w:r w:rsidRPr="0099757A">
        <w:rPr>
          <w:highlight w:val="yellow"/>
        </w:rPr>
        <w:t xml:space="preserve"> older pre</w:t>
      </w:r>
      <w:r w:rsidR="002806EF" w:rsidRPr="0099757A">
        <w:rPr>
          <w:highlight w:val="yellow"/>
        </w:rPr>
        <w:t>-</w:t>
      </w:r>
      <w:r w:rsidRPr="0099757A">
        <w:rPr>
          <w:highlight w:val="yellow"/>
        </w:rPr>
        <w:t xml:space="preserve"> and post</w:t>
      </w:r>
      <w:r w:rsidR="002806EF" w:rsidRPr="0099757A">
        <w:rPr>
          <w:highlight w:val="yellow"/>
        </w:rPr>
        <w:t>-</w:t>
      </w:r>
      <w:r w:rsidRPr="0099757A">
        <w:rPr>
          <w:highlight w:val="yellow"/>
        </w:rPr>
        <w:t>treatment photographs taken at the time of treatment will be repeated in the exact location</w:t>
      </w:r>
      <w:r w:rsidR="002806EF" w:rsidRPr="0099757A">
        <w:rPr>
          <w:highlight w:val="yellow"/>
        </w:rPr>
        <w:t>.</w:t>
      </w:r>
    </w:p>
    <w:p w14:paraId="4FA6D39B" w14:textId="4A06B35B" w:rsidR="009D1986" w:rsidRDefault="00A26D94" w:rsidP="00CA6D91">
      <w:r>
        <w:t xml:space="preserve">At the </w:t>
      </w:r>
      <w:r w:rsidR="009D1986">
        <w:t>Jul</w:t>
      </w:r>
      <w:r>
        <w:t>y</w:t>
      </w:r>
      <w:r w:rsidR="009D1986">
        <w:t xml:space="preserve"> 21</w:t>
      </w:r>
      <w:r>
        <w:t xml:space="preserve">, 2021 EMC Meeting, Member </w:t>
      </w:r>
      <w:r w:rsidR="009D1986">
        <w:t xml:space="preserve">Stacy Drury </w:t>
      </w:r>
      <w:r>
        <w:t xml:space="preserve">provided a project update. Member Drury was in </w:t>
      </w:r>
      <w:r w:rsidR="009D1986">
        <w:t xml:space="preserve">contact with the Feather River </w:t>
      </w:r>
      <w:r>
        <w:t xml:space="preserve">Resource Conservation District (RCD), which had </w:t>
      </w:r>
      <w:r w:rsidR="009D1986">
        <w:t>mov</w:t>
      </w:r>
      <w:r>
        <w:t>ed</w:t>
      </w:r>
      <w:r w:rsidR="009D1986">
        <w:t xml:space="preserve"> forward with the project, COVID </w:t>
      </w:r>
      <w:r>
        <w:t xml:space="preserve">had </w:t>
      </w:r>
      <w:r w:rsidR="009D1986">
        <w:t>put the</w:t>
      </w:r>
      <w:r>
        <w:t xml:space="preserve"> project behind </w:t>
      </w:r>
      <w:r w:rsidR="009D1986">
        <w:t xml:space="preserve">schedule. Some </w:t>
      </w:r>
      <w:r>
        <w:t xml:space="preserve">experimental </w:t>
      </w:r>
      <w:r w:rsidR="009D1986">
        <w:t xml:space="preserve">sites burned in 2020, and fires </w:t>
      </w:r>
      <w:r>
        <w:t>in the summer had</w:t>
      </w:r>
      <w:r w:rsidR="009D1986">
        <w:t xml:space="preserve"> encroach</w:t>
      </w:r>
      <w:r>
        <w:t>ed</w:t>
      </w:r>
      <w:r w:rsidR="009D1986">
        <w:t xml:space="preserve"> on some of the plots</w:t>
      </w:r>
      <w:r>
        <w:t xml:space="preserve">, but the project was still </w:t>
      </w:r>
      <w:r w:rsidR="009D1986">
        <w:t>on track</w:t>
      </w:r>
      <w:r>
        <w:t xml:space="preserve"> to provide the contracted deliverables</w:t>
      </w:r>
      <w:r w:rsidR="009D1986">
        <w:t>.</w:t>
      </w:r>
      <w:r>
        <w:t xml:space="preserve"> </w:t>
      </w:r>
    </w:p>
    <w:p w14:paraId="78AEC71F" w14:textId="462EF4EA" w:rsidR="00F6399E" w:rsidRPr="0099757A" w:rsidRDefault="00A26D94" w:rsidP="00CA6D91">
      <w:r>
        <w:t xml:space="preserve">At the </w:t>
      </w:r>
      <w:r w:rsidR="00F6399E">
        <w:t>Oct</w:t>
      </w:r>
      <w:r>
        <w:t>ober 21, 20</w:t>
      </w:r>
      <w:r w:rsidR="00F6399E">
        <w:t xml:space="preserve">21 </w:t>
      </w:r>
      <w:r>
        <w:t>meeting, Member Drury provided an additional update</w:t>
      </w:r>
      <w:r w:rsidR="00563634">
        <w:t xml:space="preserve">, stating that the project was </w:t>
      </w:r>
      <w:r w:rsidR="00F6399E" w:rsidRPr="00F6399E">
        <w:t>wrapping up</w:t>
      </w:r>
      <w:r w:rsidR="00563634">
        <w:t xml:space="preserve">. The </w:t>
      </w:r>
      <w:r w:rsidR="00F6399E" w:rsidRPr="00F6399E">
        <w:t xml:space="preserve">Dixie Fire burned </w:t>
      </w:r>
      <w:r w:rsidR="00563634">
        <w:t xml:space="preserve">most of the experimental </w:t>
      </w:r>
      <w:r w:rsidR="00F6399E" w:rsidRPr="00F6399E">
        <w:t xml:space="preserve">sites, and many </w:t>
      </w:r>
      <w:r w:rsidR="00563634">
        <w:t xml:space="preserve">could no longer be evaluated, resulting in a delay in the </w:t>
      </w:r>
      <w:r w:rsidR="00F6399E" w:rsidRPr="00F6399E">
        <w:t>final report</w:t>
      </w:r>
      <w:r w:rsidR="00563634">
        <w:t xml:space="preserve">, so the project investigators would </w:t>
      </w:r>
      <w:r w:rsidR="00F6399E" w:rsidRPr="00F6399E">
        <w:t>re-evaluat</w:t>
      </w:r>
      <w:r w:rsidR="00563634">
        <w:t>e</w:t>
      </w:r>
      <w:r w:rsidR="00F6399E" w:rsidRPr="00F6399E">
        <w:t xml:space="preserve"> the next steps and timeline. </w:t>
      </w:r>
    </w:p>
    <w:p w14:paraId="58F7E9B5" w14:textId="4F67739D" w:rsidR="00F70F56" w:rsidRDefault="00B2268B" w:rsidP="000333B1">
      <w:pPr>
        <w:pStyle w:val="Heading2"/>
      </w:pPr>
      <w:r w:rsidRPr="00BD76E6">
        <w:t>EMC-2019-003: Fuel Treatments and Hydrologic Implications in the Sierra Nevada</w:t>
      </w:r>
    </w:p>
    <w:p w14:paraId="1264323D" w14:textId="7C2093E1" w:rsidR="00B2268B" w:rsidRPr="00B13F3B" w:rsidRDefault="00B2268B" w:rsidP="00CA6D91">
      <w:pPr>
        <w:rPr>
          <w:spacing w:val="0"/>
        </w:rPr>
      </w:pPr>
      <w:r w:rsidRPr="0099757A">
        <w:rPr>
          <w:highlight w:val="yellow"/>
        </w:rPr>
        <w:t xml:space="preserve">Streamflow data </w:t>
      </w:r>
      <w:r w:rsidR="00F82F2E" w:rsidRPr="0099757A">
        <w:rPr>
          <w:highlight w:val="yellow"/>
        </w:rPr>
        <w:t>were</w:t>
      </w:r>
      <w:r w:rsidRPr="0099757A">
        <w:rPr>
          <w:highlight w:val="yellow"/>
        </w:rPr>
        <w:t xml:space="preserve"> acquired and reset on November 12-14, 2020. Th</w:t>
      </w:r>
      <w:r w:rsidR="00F82F2E" w:rsidRPr="0099757A">
        <w:rPr>
          <w:highlight w:val="yellow"/>
        </w:rPr>
        <w:t>ese</w:t>
      </w:r>
      <w:r w:rsidRPr="0099757A">
        <w:rPr>
          <w:highlight w:val="yellow"/>
        </w:rPr>
        <w:t xml:space="preserve"> data will be quality controlled and added to </w:t>
      </w:r>
      <w:r w:rsidR="00F82F2E" w:rsidRPr="0099757A">
        <w:rPr>
          <w:highlight w:val="yellow"/>
        </w:rPr>
        <w:t>the</w:t>
      </w:r>
      <w:r w:rsidRPr="0099757A">
        <w:rPr>
          <w:highlight w:val="yellow"/>
        </w:rPr>
        <w:t xml:space="preserve"> existing long-term dataset. Leaf Area Index and MODIS FPAR 4-day global dataset</w:t>
      </w:r>
      <w:r w:rsidR="00F82F2E" w:rsidRPr="0099757A">
        <w:rPr>
          <w:highlight w:val="yellow"/>
        </w:rPr>
        <w:t>s</w:t>
      </w:r>
      <w:r w:rsidRPr="0099757A">
        <w:rPr>
          <w:highlight w:val="yellow"/>
        </w:rPr>
        <w:t xml:space="preserve"> have been acquired using Google Earth Engine. Ongoing work includes acquisition of additional remote sensing products: fractional snow-covered area, evapotranspiration, and NDVI. Statistical evaluation will begin in late December to early January. LiDAR data available for Sagehen will be acquired in </w:t>
      </w:r>
      <w:r w:rsidR="002806EF" w:rsidRPr="0099757A">
        <w:rPr>
          <w:highlight w:val="yellow"/>
        </w:rPr>
        <w:t>s</w:t>
      </w:r>
      <w:r w:rsidRPr="0099757A">
        <w:rPr>
          <w:highlight w:val="yellow"/>
        </w:rPr>
        <w:t xml:space="preserve">pring 2021 and interpreted to quantify canopy change at a high resolution. </w:t>
      </w:r>
      <w:r w:rsidR="002806EF" w:rsidRPr="0099757A">
        <w:rPr>
          <w:highlight w:val="yellow"/>
        </w:rPr>
        <w:t>COVID-19</w:t>
      </w:r>
      <w:r w:rsidRPr="0099757A">
        <w:rPr>
          <w:highlight w:val="yellow"/>
        </w:rPr>
        <w:t xml:space="preserve"> delayed the start date of </w:t>
      </w:r>
      <w:r w:rsidR="00F82F2E" w:rsidRPr="0099757A">
        <w:rPr>
          <w:highlight w:val="yellow"/>
        </w:rPr>
        <w:t>the</w:t>
      </w:r>
      <w:r w:rsidRPr="0099757A">
        <w:rPr>
          <w:highlight w:val="yellow"/>
        </w:rPr>
        <w:t xml:space="preserve"> project by several months and </w:t>
      </w:r>
      <w:r w:rsidR="00F82F2E" w:rsidRPr="0099757A">
        <w:rPr>
          <w:highlight w:val="yellow"/>
        </w:rPr>
        <w:t xml:space="preserve">the </w:t>
      </w:r>
      <w:r w:rsidRPr="0099757A">
        <w:rPr>
          <w:highlight w:val="yellow"/>
        </w:rPr>
        <w:t>proposed timeline.</w:t>
      </w:r>
      <w:r w:rsidR="00F70F56">
        <w:t xml:space="preserve"> No project updates or deliverables were provided in 2021.</w:t>
      </w:r>
    </w:p>
    <w:p w14:paraId="06ECB1AA" w14:textId="64693B2A" w:rsidR="00F70F56" w:rsidRDefault="00104824" w:rsidP="000333B1">
      <w:pPr>
        <w:pStyle w:val="Heading2"/>
      </w:pPr>
      <w:r>
        <w:t>E</w:t>
      </w:r>
      <w:r w:rsidR="009F71A2" w:rsidRPr="00186855">
        <w:t>MC-2019-005: Sediment Monitoring and Fish Habitat – San Vicente Accelerated Wood Recruitment</w:t>
      </w:r>
      <w:r w:rsidR="00B13F3B">
        <w:t>.</w:t>
      </w:r>
    </w:p>
    <w:p w14:paraId="2EE8CBF2" w14:textId="49A0CE41" w:rsidR="009D1986" w:rsidRPr="0099757A" w:rsidRDefault="00F70F56" w:rsidP="00CA6D91">
      <w:r w:rsidRPr="00402E8E">
        <w:t xml:space="preserve">At the </w:t>
      </w:r>
      <w:r w:rsidR="00B13F3B" w:rsidRPr="00402E8E">
        <w:t>Apr</w:t>
      </w:r>
      <w:r w:rsidRPr="00402E8E">
        <w:t>il</w:t>
      </w:r>
      <w:r w:rsidR="00B13F3B" w:rsidRPr="00402E8E">
        <w:t xml:space="preserve"> 21</w:t>
      </w:r>
      <w:r w:rsidRPr="00402E8E">
        <w:t xml:space="preserve">, 2021 EMC meeting, Member </w:t>
      </w:r>
      <w:r w:rsidR="00B13F3B" w:rsidRPr="00402E8E">
        <w:t xml:space="preserve">Bill Short </w:t>
      </w:r>
      <w:r w:rsidR="004D6BBD" w:rsidRPr="00402E8E">
        <w:t xml:space="preserve">reported </w:t>
      </w:r>
      <w:r w:rsidR="00B13F3B" w:rsidRPr="00402E8E">
        <w:t xml:space="preserve">that the </w:t>
      </w:r>
      <w:r w:rsidR="004D6BBD" w:rsidRPr="00402E8E">
        <w:t xml:space="preserve">two </w:t>
      </w:r>
      <w:r w:rsidR="00B13F3B" w:rsidRPr="00402E8E">
        <w:t>watershed</w:t>
      </w:r>
      <w:r w:rsidR="004D6BBD" w:rsidRPr="00402E8E">
        <w:t>s</w:t>
      </w:r>
      <w:r w:rsidR="00B13F3B" w:rsidRPr="00402E8E">
        <w:t xml:space="preserve"> to be studied in Santa Cruz County </w:t>
      </w:r>
      <w:r w:rsidRPr="00402E8E">
        <w:t xml:space="preserve">had </w:t>
      </w:r>
      <w:r w:rsidR="00B13F3B" w:rsidRPr="00402E8E">
        <w:t xml:space="preserve">burned in the CZU Lightning Complex and the Sempervirens Fund </w:t>
      </w:r>
      <w:r w:rsidRPr="00402E8E">
        <w:t xml:space="preserve">was </w:t>
      </w:r>
      <w:r w:rsidR="00B13F3B" w:rsidRPr="00402E8E">
        <w:t xml:space="preserve">not going to continue with the </w:t>
      </w:r>
      <w:r w:rsidRPr="00402E8E">
        <w:t>Timber Harvest Plan (</w:t>
      </w:r>
      <w:r w:rsidR="00B13F3B" w:rsidRPr="00402E8E">
        <w:t>THP</w:t>
      </w:r>
      <w:r w:rsidRPr="00402E8E">
        <w:t>)</w:t>
      </w:r>
      <w:r w:rsidR="00B13F3B" w:rsidRPr="00402E8E">
        <w:t>.</w:t>
      </w:r>
      <w:r w:rsidR="004D6BBD" w:rsidRPr="00402E8E">
        <w:t xml:space="preserve"> </w:t>
      </w:r>
      <w:r w:rsidR="004D6BBD" w:rsidRPr="0099757A">
        <w:rPr>
          <w:rFonts w:ascii="Calibri" w:eastAsia="Times New Roman" w:hAnsi="Calibri" w:cs="Calibri"/>
          <w:color w:val="000000"/>
          <w:spacing w:val="0"/>
        </w:rPr>
        <w:t xml:space="preserve">Project investigators met with Board staff to discuss alternatives that might be available, including changing the project to a post-fire large wood study. However, </w:t>
      </w:r>
      <w:r w:rsidR="004D6BBD" w:rsidRPr="00402E8E">
        <w:t xml:space="preserve">RPF </w:t>
      </w:r>
      <w:r w:rsidR="00B13F3B" w:rsidRPr="00402E8E">
        <w:t xml:space="preserve">Nadia </w:t>
      </w:r>
      <w:proofErr w:type="spellStart"/>
      <w:r w:rsidR="00B13F3B" w:rsidRPr="00402E8E">
        <w:t>Hamey</w:t>
      </w:r>
      <w:proofErr w:type="spellEnd"/>
      <w:r w:rsidRPr="00402E8E">
        <w:t xml:space="preserve"> was </w:t>
      </w:r>
      <w:r w:rsidR="00B13F3B" w:rsidRPr="00402E8E">
        <w:t xml:space="preserve">planning to go forward with the project. </w:t>
      </w:r>
      <w:r w:rsidR="004D6BBD" w:rsidRPr="00402E8E">
        <w:t xml:space="preserve">The </w:t>
      </w:r>
      <w:r w:rsidR="00B13F3B" w:rsidRPr="00402E8E">
        <w:t>C</w:t>
      </w:r>
      <w:r w:rsidR="004D6BBD" w:rsidRPr="00402E8E">
        <w:t xml:space="preserve">alifornia </w:t>
      </w:r>
      <w:r w:rsidR="00B13F3B" w:rsidRPr="00402E8E">
        <w:t>G</w:t>
      </w:r>
      <w:r w:rsidR="004D6BBD" w:rsidRPr="00402E8E">
        <w:t xml:space="preserve">eological </w:t>
      </w:r>
      <w:r w:rsidR="00B13F3B" w:rsidRPr="00402E8E">
        <w:t>S</w:t>
      </w:r>
      <w:r w:rsidR="004D6BBD" w:rsidRPr="00402E8E">
        <w:t>ociety</w:t>
      </w:r>
      <w:r w:rsidR="00B13F3B" w:rsidRPr="00402E8E">
        <w:t xml:space="preserve"> </w:t>
      </w:r>
      <w:r w:rsidR="004D6BBD" w:rsidRPr="00402E8E">
        <w:t xml:space="preserve">had </w:t>
      </w:r>
      <w:r w:rsidR="00B13F3B" w:rsidRPr="00402E8E">
        <w:t>installed monitoring equipment in the stream channels</w:t>
      </w:r>
      <w:r w:rsidR="004D6BBD" w:rsidRPr="00402E8E">
        <w:t>, and data were being collected</w:t>
      </w:r>
      <w:r w:rsidR="00B13F3B" w:rsidRPr="00402E8E">
        <w:t>. They observed significant sediment delivery to the channels.</w:t>
      </w:r>
      <w:r w:rsidR="004D6BBD" w:rsidRPr="00402E8E">
        <w:t xml:space="preserve"> </w:t>
      </w:r>
    </w:p>
    <w:p w14:paraId="387C2FDA" w14:textId="746F2BB8" w:rsidR="001423C5" w:rsidRPr="00402E8E" w:rsidRDefault="004D6BBD" w:rsidP="00CA6D91">
      <w:r w:rsidRPr="001611C1">
        <w:t xml:space="preserve">At the </w:t>
      </w:r>
      <w:r w:rsidR="00F6399E" w:rsidRPr="001611C1">
        <w:t>Oct</w:t>
      </w:r>
      <w:r w:rsidRPr="001611C1">
        <w:t>ober 21,</w:t>
      </w:r>
      <w:r w:rsidR="00F6399E" w:rsidRPr="001611C1">
        <w:t xml:space="preserve"> </w:t>
      </w:r>
      <w:r w:rsidRPr="001611C1">
        <w:t>20</w:t>
      </w:r>
      <w:r w:rsidR="00F6399E" w:rsidRPr="001611C1">
        <w:t xml:space="preserve">21 </w:t>
      </w:r>
      <w:r w:rsidRPr="001611C1">
        <w:t xml:space="preserve">meeting, </w:t>
      </w:r>
      <w:r w:rsidR="00402E8E" w:rsidRPr="001611C1">
        <w:t xml:space="preserve">Member </w:t>
      </w:r>
      <w:r w:rsidR="00F6399E" w:rsidRPr="001611C1">
        <w:t xml:space="preserve">Short </w:t>
      </w:r>
      <w:r w:rsidR="00402E8E" w:rsidRPr="001611C1">
        <w:t xml:space="preserve">reported that </w:t>
      </w:r>
      <w:r w:rsidR="00F6399E" w:rsidRPr="001611C1">
        <w:t xml:space="preserve">a modified plan </w:t>
      </w:r>
      <w:r w:rsidR="00402E8E" w:rsidRPr="001611C1">
        <w:t xml:space="preserve">for </w:t>
      </w:r>
      <w:r w:rsidR="00F6399E" w:rsidRPr="001611C1">
        <w:t>the project</w:t>
      </w:r>
      <w:r w:rsidR="00402E8E" w:rsidRPr="001611C1">
        <w:t xml:space="preserve"> would be submitted. At that time, the project was still </w:t>
      </w:r>
      <w:r w:rsidR="00F6399E" w:rsidRPr="001611C1">
        <w:t>on hold</w:t>
      </w:r>
      <w:r w:rsidR="00402E8E" w:rsidRPr="001611C1">
        <w:t xml:space="preserve">, but Member Short </w:t>
      </w:r>
      <w:r w:rsidR="00F6399E" w:rsidRPr="001611C1">
        <w:t xml:space="preserve"> anticipate</w:t>
      </w:r>
      <w:r w:rsidR="00402E8E" w:rsidRPr="001611C1">
        <w:t>d</w:t>
      </w:r>
      <w:r w:rsidR="00F6399E" w:rsidRPr="001611C1">
        <w:t xml:space="preserve"> that the plan </w:t>
      </w:r>
      <w:r w:rsidR="00402E8E" w:rsidRPr="001611C1">
        <w:t xml:space="preserve">would </w:t>
      </w:r>
      <w:r w:rsidR="00F6399E" w:rsidRPr="001611C1">
        <w:t xml:space="preserve">go through as modified and </w:t>
      </w:r>
      <w:r w:rsidR="00402E8E" w:rsidRPr="001611C1">
        <w:t xml:space="preserve">work to fly </w:t>
      </w:r>
      <w:r w:rsidR="00F6399E" w:rsidRPr="001611C1">
        <w:t xml:space="preserve">the LiDAR </w:t>
      </w:r>
      <w:r w:rsidR="00402E8E" w:rsidRPr="001611C1">
        <w:t xml:space="preserve">for </w:t>
      </w:r>
      <w:r w:rsidR="00F6399E" w:rsidRPr="001611C1">
        <w:t>pre-project analys</w:t>
      </w:r>
      <w:r w:rsidR="00402E8E" w:rsidRPr="001611C1">
        <w:t>e</w:t>
      </w:r>
      <w:r w:rsidR="00F6399E" w:rsidRPr="001611C1">
        <w:t>s</w:t>
      </w:r>
      <w:r w:rsidR="00402E8E" w:rsidRPr="001611C1">
        <w:t xml:space="preserve"> was planned for winter, and </w:t>
      </w:r>
      <w:r w:rsidR="00F6399E" w:rsidRPr="001611C1">
        <w:t>some streamflow surveys</w:t>
      </w:r>
      <w:r w:rsidR="00402E8E" w:rsidRPr="001611C1">
        <w:t xml:space="preserve"> had been conducted</w:t>
      </w:r>
      <w:r w:rsidR="00F6399E" w:rsidRPr="001611C1">
        <w:t xml:space="preserve">. </w:t>
      </w:r>
    </w:p>
    <w:p w14:paraId="29FB09ED" w14:textId="4E73C719" w:rsidR="003D4934" w:rsidRDefault="00AA03E0" w:rsidP="0099757A">
      <w:pPr>
        <w:pStyle w:val="Heading1"/>
        <w:spacing w:before="60" w:after="60"/>
        <w:contextualSpacing w:val="0"/>
      </w:pPr>
      <w:r w:rsidRPr="00467F7A">
        <w:t xml:space="preserve">EMC </w:t>
      </w:r>
      <w:r w:rsidR="00F450E5" w:rsidRPr="00467F7A">
        <w:t>PROJECT RESULTS</w:t>
      </w:r>
      <w:r w:rsidRPr="00467F7A">
        <w:t xml:space="preserve"> AND PRODUCTS</w:t>
      </w:r>
    </w:p>
    <w:p w14:paraId="5AED5B82" w14:textId="70434C98" w:rsidR="008F54B5" w:rsidRDefault="008F54B5" w:rsidP="00CA6D91">
      <w:r>
        <w:t>The following section provides more information on reported project deliverables in 2021, or prior if applicable:</w:t>
      </w:r>
    </w:p>
    <w:p w14:paraId="1CDBCC32" w14:textId="08E92C3A" w:rsidR="007F6286" w:rsidRDefault="007F6286" w:rsidP="000333B1">
      <w:pPr>
        <w:pStyle w:val="Heading2"/>
      </w:pPr>
      <w:r w:rsidRPr="00B554DA">
        <w:t xml:space="preserve">EMC-2015-001: </w:t>
      </w:r>
      <w:r w:rsidR="002926EE" w:rsidRPr="002926EE">
        <w:t xml:space="preserve">Class II Large Watercourse Study: Multiscale investigation of perennial flow and thermal influence of headwater streams into fish bearing </w:t>
      </w:r>
      <w:r w:rsidR="002926EE" w:rsidRPr="00B554DA">
        <w:t>systems</w:t>
      </w:r>
      <w:r w:rsidRPr="006D11B0">
        <w:t xml:space="preserve"> </w:t>
      </w:r>
    </w:p>
    <w:p w14:paraId="7B3D8B3B" w14:textId="2830DE07" w:rsidR="00A30E0C" w:rsidRPr="00A30E0C" w:rsidRDefault="00710193" w:rsidP="00CA6D91">
      <w:r>
        <w:lastRenderedPageBreak/>
        <w:t xml:space="preserve">This project is complete, and additional publications and presentations are expected. </w:t>
      </w:r>
      <w:r w:rsidR="00A30E0C">
        <w:t xml:space="preserve">The following items were published or presented in 2021: </w:t>
      </w:r>
    </w:p>
    <w:p w14:paraId="4119A6AA" w14:textId="31EAEE1F" w:rsidR="00F7784F" w:rsidRDefault="00F7784F" w:rsidP="0099757A">
      <w:pPr>
        <w:pStyle w:val="ListParagraph"/>
        <w:numPr>
          <w:ilvl w:val="1"/>
          <w:numId w:val="40"/>
        </w:numPr>
        <w:spacing w:after="60"/>
        <w:ind w:left="720"/>
      </w:pPr>
      <w:r w:rsidRPr="00A30E0C">
        <w:t>Wissler</w:t>
      </w:r>
      <w:r w:rsidR="00EB7628" w:rsidRPr="00A30E0C">
        <w:t xml:space="preserve">, A., C. Segura, and K. Bladon. </w:t>
      </w:r>
      <w:r w:rsidR="00A30E0C">
        <w:t xml:space="preserve">2021. </w:t>
      </w:r>
      <w:r w:rsidR="00EB7628" w:rsidRPr="00A30E0C">
        <w:t>Comparing headwater stream thermal sensitivity across two</w:t>
      </w:r>
      <w:r w:rsidR="00BD76E6" w:rsidRPr="00A30E0C">
        <w:t xml:space="preserve"> </w:t>
      </w:r>
      <w:r w:rsidR="00EB7628" w:rsidRPr="00A30E0C">
        <w:t xml:space="preserve">contrasting lithologies in Northern California. </w:t>
      </w:r>
      <w:proofErr w:type="spellStart"/>
      <w:r w:rsidR="00A30E0C">
        <w:rPr>
          <w:i/>
          <w:iCs/>
        </w:rPr>
        <w:t>Authorea</w:t>
      </w:r>
      <w:proofErr w:type="spellEnd"/>
      <w:r w:rsidR="00A30E0C">
        <w:rPr>
          <w:i/>
          <w:iCs/>
        </w:rPr>
        <w:t xml:space="preserve"> </w:t>
      </w:r>
      <w:r w:rsidR="00A30E0C">
        <w:t xml:space="preserve">1–42. </w:t>
      </w:r>
      <w:r w:rsidR="00A30E0C" w:rsidRPr="0099757A">
        <w:t>DOI: 10.22541/au.160993267.74556159/v1</w:t>
      </w:r>
    </w:p>
    <w:p w14:paraId="026581D5" w14:textId="0B3283F3" w:rsidR="0009113C" w:rsidRDefault="0009113C" w:rsidP="0099757A">
      <w:pPr>
        <w:pStyle w:val="ListParagraph"/>
        <w:numPr>
          <w:ilvl w:val="1"/>
          <w:numId w:val="40"/>
        </w:numPr>
        <w:spacing w:after="60"/>
        <w:ind w:left="720"/>
      </w:pPr>
      <w:r>
        <w:t>Member Coe provided a project update at the January 13, 2021 EMC meeting.</w:t>
      </w:r>
    </w:p>
    <w:p w14:paraId="16EC4237" w14:textId="44368EF4" w:rsidR="00A84EEA" w:rsidRPr="00A84EEA" w:rsidRDefault="00A84EEA" w:rsidP="0099757A">
      <w:pPr>
        <w:pStyle w:val="ListParagraph"/>
        <w:numPr>
          <w:ilvl w:val="1"/>
          <w:numId w:val="40"/>
        </w:numPr>
        <w:spacing w:after="60"/>
        <w:ind w:left="720"/>
      </w:pPr>
      <w:r w:rsidRPr="00A84EEA">
        <w:t xml:space="preserve">A presentation on the final project results was given to the EMC at the meeting on </w:t>
      </w:r>
      <w:r w:rsidRPr="0099757A">
        <w:t>April, 21, 2021</w:t>
      </w:r>
      <w:r w:rsidRPr="00A84EEA">
        <w:t>.</w:t>
      </w:r>
    </w:p>
    <w:p w14:paraId="758003E2" w14:textId="368E3BD2" w:rsidR="0009113C" w:rsidRDefault="00A84EEA" w:rsidP="0099757A">
      <w:pPr>
        <w:pStyle w:val="ListParagraph"/>
        <w:numPr>
          <w:ilvl w:val="0"/>
          <w:numId w:val="40"/>
        </w:numPr>
        <w:spacing w:after="60"/>
      </w:pPr>
      <w:r>
        <w:t>Co-</w:t>
      </w:r>
      <w:r w:rsidR="006C0114">
        <w:t>C</w:t>
      </w:r>
      <w:r>
        <w:t xml:space="preserve">hair </w:t>
      </w:r>
      <w:proofErr w:type="spellStart"/>
      <w:r>
        <w:t>Husari</w:t>
      </w:r>
      <w:proofErr w:type="spellEnd"/>
      <w:r>
        <w:t xml:space="preserve"> provided the Board with a project update at the </w:t>
      </w:r>
      <w:r w:rsidR="0009113C">
        <w:t xml:space="preserve">July 2, 2021 </w:t>
      </w:r>
      <w:r w:rsidR="001611C1">
        <w:t xml:space="preserve">Board </w:t>
      </w:r>
      <w:r w:rsidR="0009113C">
        <w:t xml:space="preserve">Meeting. </w:t>
      </w:r>
    </w:p>
    <w:p w14:paraId="01A52830" w14:textId="452370B7" w:rsidR="00A30E0C" w:rsidRPr="00E748B1" w:rsidRDefault="004A7EDC" w:rsidP="0099757A">
      <w:pPr>
        <w:pStyle w:val="ListParagraph"/>
        <w:numPr>
          <w:ilvl w:val="0"/>
          <w:numId w:val="40"/>
        </w:numPr>
        <w:spacing w:after="60"/>
      </w:pPr>
      <w:r>
        <w:t>Final project results and a</w:t>
      </w:r>
      <w:r w:rsidR="00A30E0C">
        <w:t xml:space="preserve"> Completed Research Assessment</w:t>
      </w:r>
      <w:r w:rsidR="00A84EEA">
        <w:t xml:space="preserve"> </w:t>
      </w:r>
      <w:r>
        <w:t xml:space="preserve">were </w:t>
      </w:r>
      <w:r w:rsidR="00A30E0C">
        <w:t xml:space="preserve">presented </w:t>
      </w:r>
      <w:r w:rsidR="00E748B1">
        <w:t xml:space="preserve">at </w:t>
      </w:r>
      <w:r w:rsidR="00A30E0C">
        <w:t xml:space="preserve">the EMC </w:t>
      </w:r>
      <w:r w:rsidR="00A30E0C" w:rsidRPr="00E748B1">
        <w:t xml:space="preserve">meeting on </w:t>
      </w:r>
      <w:r w:rsidR="00A84EEA" w:rsidRPr="0099757A">
        <w:t>July</w:t>
      </w:r>
      <w:r w:rsidR="00A30E0C" w:rsidRPr="00E748B1">
        <w:t xml:space="preserve"> </w:t>
      </w:r>
      <w:r w:rsidR="00A84EEA" w:rsidRPr="0099757A">
        <w:t>21</w:t>
      </w:r>
      <w:r w:rsidR="00A30E0C" w:rsidRPr="00E748B1">
        <w:t xml:space="preserve">, 2021, and following revisions, </w:t>
      </w:r>
      <w:r>
        <w:t xml:space="preserve">was </w:t>
      </w:r>
      <w:r w:rsidR="00A30E0C" w:rsidRPr="00E748B1">
        <w:t xml:space="preserve">presented to the Board at the Forest Practice Committee meeting on </w:t>
      </w:r>
      <w:r w:rsidR="00B90CBF" w:rsidRPr="0099757A">
        <w:t>September 10</w:t>
      </w:r>
      <w:r w:rsidR="00A30E0C" w:rsidRPr="00E748B1">
        <w:t xml:space="preserve">, 2021. </w:t>
      </w:r>
    </w:p>
    <w:p w14:paraId="140EB19E" w14:textId="1CBDE91D" w:rsidR="00DD7B6B" w:rsidRDefault="00A30E0C" w:rsidP="0099757A">
      <w:pPr>
        <w:pStyle w:val="ListParagraph"/>
        <w:numPr>
          <w:ilvl w:val="0"/>
          <w:numId w:val="40"/>
        </w:numPr>
        <w:spacing w:after="60"/>
      </w:pPr>
      <w:r>
        <w:t xml:space="preserve">A presentation on policy implications and an additional project update were </w:t>
      </w:r>
      <w:r w:rsidRPr="004A7EDC">
        <w:t xml:space="preserve">presented to the Board at the Forest Practice Committee meeting on </w:t>
      </w:r>
      <w:r w:rsidR="00DD7B6B">
        <w:t xml:space="preserve">November 3, 2021, and again on </w:t>
      </w:r>
      <w:r w:rsidR="004A7EDC" w:rsidRPr="0099757A">
        <w:t>December 8</w:t>
      </w:r>
      <w:r w:rsidRPr="004A7EDC">
        <w:t>, 2021.</w:t>
      </w:r>
      <w:r>
        <w:t xml:space="preserve"> </w:t>
      </w:r>
    </w:p>
    <w:p w14:paraId="697D5235" w14:textId="19E3DFCB" w:rsidR="00B00DF0" w:rsidRPr="00BD76E6" w:rsidRDefault="00EF64A4" w:rsidP="000333B1">
      <w:pPr>
        <w:pStyle w:val="Heading2"/>
        <w:rPr>
          <w:spacing w:val="0"/>
        </w:rPr>
      </w:pPr>
      <w:r w:rsidRPr="00B554DA">
        <w:t>EMC-2016-002: Post-fire effectiveness of the Forest Practice Rules in protecting water quality on Boggs Mountain Demonstration State Forest</w:t>
      </w:r>
    </w:p>
    <w:p w14:paraId="5741AA86" w14:textId="4264E9BC" w:rsidR="00646A4C" w:rsidRPr="00A30E0C" w:rsidRDefault="00710193" w:rsidP="00CA6D91">
      <w:r>
        <w:t xml:space="preserve">This project is complete, and additional publications and presentations are expected. </w:t>
      </w:r>
      <w:r w:rsidR="00646A4C">
        <w:t xml:space="preserve">The following items were published or presented in 2021: </w:t>
      </w:r>
    </w:p>
    <w:p w14:paraId="21ECF0F1" w14:textId="5B820C61" w:rsidR="00A84EEA" w:rsidRDefault="00E860ED" w:rsidP="0099757A">
      <w:pPr>
        <w:pStyle w:val="ListParagraph"/>
        <w:numPr>
          <w:ilvl w:val="0"/>
          <w:numId w:val="43"/>
        </w:numPr>
        <w:spacing w:after="60"/>
      </w:pPr>
      <w:r>
        <w:t xml:space="preserve">At the January 13, 2021 EMC meeting, Member Coe summarized a published poster that was presented online at the Fall 2020 AGU meeting titled “Alternative methods for reducing sediment delivery from skid trails used for post-fire logging”.  </w:t>
      </w:r>
    </w:p>
    <w:p w14:paraId="2721DC00" w14:textId="77777777" w:rsidR="00E860ED" w:rsidRPr="00A30E0C" w:rsidRDefault="00E860ED" w:rsidP="0099757A">
      <w:pPr>
        <w:pStyle w:val="ListParagraph"/>
        <w:numPr>
          <w:ilvl w:val="0"/>
          <w:numId w:val="43"/>
        </w:numPr>
        <w:spacing w:after="60"/>
      </w:pPr>
      <w:r w:rsidRPr="004A70A8">
        <w:t xml:space="preserve">Dr. Joe </w:t>
      </w:r>
      <w:proofErr w:type="spellStart"/>
      <w:r w:rsidRPr="004A70A8">
        <w:t>Wagenbrenner</w:t>
      </w:r>
      <w:proofErr w:type="spellEnd"/>
      <w:r w:rsidRPr="004A70A8">
        <w:t xml:space="preserve"> </w:t>
      </w:r>
      <w:r w:rsidR="008406B5">
        <w:t xml:space="preserve">gave a </w:t>
      </w:r>
      <w:r w:rsidRPr="004A70A8">
        <w:t xml:space="preserve">presentation </w:t>
      </w:r>
      <w:r w:rsidR="008406B5">
        <w:t xml:space="preserve">on April 5, 2021 at the Salvage Webinar </w:t>
      </w:r>
      <w:r w:rsidR="008406B5" w:rsidRPr="004A70A8">
        <w:t xml:space="preserve">series co-hosted by the Rocky Mountain Research Station, Northern Rockies Fire Science Network, Southern Rockies Fire Science Network, and the Northwest Fire Science Consortium </w:t>
      </w:r>
      <w:r w:rsidRPr="004A70A8">
        <w:t>titled</w:t>
      </w:r>
      <w:r w:rsidR="008406B5">
        <w:t>,</w:t>
      </w:r>
      <w:r w:rsidRPr="004A70A8">
        <w:t xml:space="preserve"> “Post-Fire Salvage Logging Effects on Soils, Runoff, and Sediment Production in Western Watersheds,” posted at </w:t>
      </w:r>
      <w:hyperlink r:id="rId24" w:history="1">
        <w:r w:rsidRPr="004A70A8">
          <w:rPr>
            <w:rStyle w:val="Hyperlink"/>
            <w:rFonts w:eastAsia="Times New Roman"/>
          </w:rPr>
          <w:t>https://www.youtube.com/watch?v=MakVum6U_vE&amp;list=PL-u4XN2GJZIgtKEmz0WxPWpwfUtchxvV_&amp;index=3</w:t>
        </w:r>
      </w:hyperlink>
      <w:r w:rsidRPr="004A70A8">
        <w:rPr>
          <w:rStyle w:val="Hyperlink"/>
          <w:rFonts w:eastAsia="Times New Roman"/>
          <w:u w:val="none"/>
        </w:rPr>
        <w:t xml:space="preserve">. </w:t>
      </w:r>
    </w:p>
    <w:p w14:paraId="3C501C45" w14:textId="0483783D" w:rsidR="006D601D" w:rsidRDefault="006D601D" w:rsidP="000333B1">
      <w:pPr>
        <w:pStyle w:val="Heading2"/>
      </w:pPr>
      <w:r w:rsidRPr="00BD76E6">
        <w:t>EMC-2016-003: Road Rules Effectiveness at Reducing Mass Wasting (Repeat LiDAR Surveys to Detect Landslides)</w:t>
      </w:r>
    </w:p>
    <w:p w14:paraId="41C86A0D" w14:textId="1B0A6347" w:rsidR="006D601D" w:rsidRPr="006D601D" w:rsidRDefault="006D601D" w:rsidP="00CA6D91">
      <w:r w:rsidRPr="0099757A">
        <w:t>Results for this project are expected in mid-2022, and as such, no publications</w:t>
      </w:r>
      <w:r w:rsidR="00BC36A6" w:rsidRPr="004F5BDB">
        <w:t xml:space="preserve"> or presentations</w:t>
      </w:r>
      <w:r w:rsidRPr="0099757A">
        <w:t xml:space="preserve"> occurred</w:t>
      </w:r>
      <w:r w:rsidR="00BC36A6" w:rsidRPr="004F5BDB">
        <w:t xml:space="preserve"> in 2021</w:t>
      </w:r>
      <w:r w:rsidRPr="0099757A">
        <w:t xml:space="preserve">. </w:t>
      </w:r>
      <w:r w:rsidR="007C0E14">
        <w:t>P</w:t>
      </w:r>
      <w:r w:rsidRPr="004F5BDB">
        <w:t xml:space="preserve">roject updates were provided at </w:t>
      </w:r>
      <w:r w:rsidR="004F5BDB" w:rsidRPr="0099757A">
        <w:t xml:space="preserve">the April 21, July 21, and October 21, 2021 </w:t>
      </w:r>
      <w:r w:rsidRPr="004F5BDB">
        <w:t>EMC meetings.</w:t>
      </w:r>
    </w:p>
    <w:p w14:paraId="17B02D4D" w14:textId="512EC4A3" w:rsidR="009B1C12" w:rsidRPr="006D11B0" w:rsidRDefault="00EF64A4" w:rsidP="0099757A">
      <w:pPr>
        <w:pStyle w:val="Heading2"/>
      </w:pPr>
      <w:r w:rsidRPr="006D11B0">
        <w:t>EMC-2017-001</w:t>
      </w:r>
      <w:r w:rsidR="00FD5E30">
        <w:t>:</w:t>
      </w:r>
      <w:r w:rsidRPr="006D11B0">
        <w:t xml:space="preserve"> </w:t>
      </w:r>
      <w:r w:rsidR="00D90373" w:rsidRPr="006D11B0">
        <w:t>Effects of Forest Stand Density Reduction on Nutrient Cycling and Nutrient Transport at the Caspar Creek Experimental Watershed</w:t>
      </w:r>
      <w:r w:rsidRPr="006D11B0">
        <w:t xml:space="preserve"> </w:t>
      </w:r>
    </w:p>
    <w:p w14:paraId="1806736C" w14:textId="049D0AB3" w:rsidR="00EF64A4" w:rsidRPr="00E80BAB" w:rsidRDefault="00B00DF0" w:rsidP="00CA6D91">
      <w:bookmarkStart w:id="8" w:name="_Hlk89788429"/>
      <w:r w:rsidRPr="0099757A">
        <w:rPr>
          <w:highlight w:val="yellow"/>
        </w:rPr>
        <w:t xml:space="preserve">UC Davis MS student </w:t>
      </w:r>
      <w:proofErr w:type="spellStart"/>
      <w:r w:rsidRPr="0099757A">
        <w:rPr>
          <w:highlight w:val="yellow"/>
        </w:rPr>
        <w:t>Seanna</w:t>
      </w:r>
      <w:proofErr w:type="spellEnd"/>
      <w:r w:rsidRPr="0099757A">
        <w:rPr>
          <w:highlight w:val="yellow"/>
        </w:rPr>
        <w:t xml:space="preserve"> McLaughlin and Drs. Helen Dahlke and Randy Dahlgren prepared a </w:t>
      </w:r>
      <w:hyperlink r:id="rId25" w:history="1">
        <w:r w:rsidRPr="0099757A">
          <w:rPr>
            <w:rStyle w:val="Hyperlink"/>
            <w:color w:val="auto"/>
            <w:szCs w:val="24"/>
            <w:highlight w:val="yellow"/>
            <w:u w:val="none"/>
          </w:rPr>
          <w:t>final report for pre-harvest biogeochemical analysis</w:t>
        </w:r>
      </w:hyperlink>
      <w:r w:rsidRPr="0099757A">
        <w:rPr>
          <w:highlight w:val="yellow"/>
        </w:rPr>
        <w:t xml:space="preserve"> of four Caspar Creek sub-watersheds for the Save the Redwoods League, one of the project funders.</w:t>
      </w:r>
    </w:p>
    <w:p w14:paraId="2E291253" w14:textId="2F6363CE" w:rsidR="00FA557A" w:rsidRPr="000D3433" w:rsidRDefault="007C0E14" w:rsidP="00CA6D91">
      <w:pPr>
        <w:rPr>
          <w:spacing w:val="0"/>
        </w:rPr>
      </w:pPr>
      <w:r w:rsidRPr="004A70A8">
        <w:t>Results for this project are expected in 2022, and as such, no publications or presentations occurred in 2021.</w:t>
      </w:r>
      <w:r>
        <w:t xml:space="preserve"> A project update was provided at the April 21, 2021 EMC meeting. </w:t>
      </w:r>
    </w:p>
    <w:bookmarkEnd w:id="8"/>
    <w:p w14:paraId="1F025F9F" w14:textId="5485B464" w:rsidR="00996C0C" w:rsidRDefault="00EF64A4" w:rsidP="0099757A">
      <w:pPr>
        <w:pStyle w:val="Heading2"/>
      </w:pPr>
      <w:r w:rsidRPr="00E80BAB">
        <w:lastRenderedPageBreak/>
        <w:t>EMC-2017-002</w:t>
      </w:r>
      <w:r w:rsidR="00996C0C">
        <w:t>:</w:t>
      </w:r>
      <w:r w:rsidRPr="00E80BAB">
        <w:t xml:space="preserve"> Boggs Mountain Demonstration State Forest (BMDSF) Post-Fire Automated Bird Recorders Study </w:t>
      </w:r>
    </w:p>
    <w:p w14:paraId="30D96F47" w14:textId="33999218" w:rsidR="007C0E14" w:rsidRDefault="0000028E" w:rsidP="00CA6D91">
      <w:bookmarkStart w:id="9" w:name="_Hlk89788376"/>
      <w:r w:rsidRPr="004A70A8">
        <w:t xml:space="preserve">Results for this project are expected in </w:t>
      </w:r>
      <w:r>
        <w:t xml:space="preserve">spring </w:t>
      </w:r>
      <w:r w:rsidRPr="004A70A8">
        <w:t>2022, and as such, no publications or presentations occurred in 2021.</w:t>
      </w:r>
      <w:r>
        <w:t xml:space="preserve"> </w:t>
      </w:r>
      <w:r w:rsidR="007C0E14">
        <w:t>No project updates or deliverables were provided in 2021.</w:t>
      </w:r>
    </w:p>
    <w:bookmarkEnd w:id="9"/>
    <w:p w14:paraId="5A1F3667" w14:textId="04F8C487" w:rsidR="00F73363" w:rsidRPr="00371B99" w:rsidRDefault="00B35042" w:rsidP="000333B1">
      <w:pPr>
        <w:pStyle w:val="Heading2"/>
      </w:pPr>
      <w:r w:rsidRPr="0099757A">
        <w:rPr>
          <w:rStyle w:val="il"/>
          <w:color w:val="000000"/>
          <w:szCs w:val="24"/>
        </w:rPr>
        <w:t>EMC</w:t>
      </w:r>
      <w:r w:rsidRPr="00371B99">
        <w:t>-2017-006: Tradeoffs among Riparian Buffer Zones, Fire Hazard, and Species Composition in the Sierra Nevada</w:t>
      </w:r>
    </w:p>
    <w:p w14:paraId="246A2555" w14:textId="6B1B9550" w:rsidR="008F1D3A" w:rsidRPr="0099757A" w:rsidRDefault="008F1D3A" w:rsidP="00CA6D91">
      <w:pPr>
        <w:rPr>
          <w:spacing w:val="0"/>
        </w:rPr>
      </w:pPr>
      <w:bookmarkStart w:id="10" w:name="_Hlk89858175"/>
      <w:r w:rsidRPr="004A70A8">
        <w:t xml:space="preserve">Results for this project are expected in </w:t>
      </w:r>
      <w:r w:rsidR="0000028E">
        <w:t xml:space="preserve">late spring or summer of </w:t>
      </w:r>
      <w:r w:rsidRPr="004A70A8">
        <w:t>2022, and as such, no publications or presentations occurred in 2021.</w:t>
      </w:r>
      <w:r>
        <w:t xml:space="preserve"> A project update was provided at the January 13, 2021 EMC meeting</w:t>
      </w:r>
      <w:r w:rsidR="0000028E">
        <w:t>, and an email update was provided in September 2021</w:t>
      </w:r>
      <w:r>
        <w:t xml:space="preserve">. </w:t>
      </w:r>
    </w:p>
    <w:p w14:paraId="19CFE4CA" w14:textId="7994F2AA" w:rsidR="00371B99" w:rsidRDefault="00371B99" w:rsidP="000333B1">
      <w:pPr>
        <w:pStyle w:val="Heading2"/>
      </w:pPr>
      <w:r w:rsidRPr="0099757A">
        <w:rPr>
          <w:rStyle w:val="il"/>
          <w:color w:val="000000"/>
          <w:szCs w:val="24"/>
        </w:rPr>
        <w:t>EMC</w:t>
      </w:r>
      <w:r w:rsidRPr="00371B99">
        <w:t>-2017-007:</w:t>
      </w:r>
      <w:r>
        <w:t xml:space="preserve"> </w:t>
      </w:r>
      <w:r w:rsidRPr="00371B99">
        <w:t>The Life Cycle of Dead Trees and Implications for Management</w:t>
      </w:r>
    </w:p>
    <w:p w14:paraId="29B00A92" w14:textId="4B5843F2" w:rsidR="002F6FD0" w:rsidRPr="004A70A8" w:rsidRDefault="002F6FD0" w:rsidP="00CA6D91">
      <w:pPr>
        <w:rPr>
          <w:spacing w:val="0"/>
        </w:rPr>
      </w:pPr>
      <w:r w:rsidRPr="004A70A8">
        <w:t xml:space="preserve">Results for this project are expected in </w:t>
      </w:r>
      <w:r w:rsidR="0000028E">
        <w:t xml:space="preserve">spring </w:t>
      </w:r>
      <w:r w:rsidRPr="004A70A8">
        <w:t>2022, and as such, no publications or presentations occurred in 2021.</w:t>
      </w:r>
      <w:r>
        <w:t xml:space="preserve"> A project update was provided at the January 13, 2021 EMC meeting. </w:t>
      </w:r>
    </w:p>
    <w:p w14:paraId="2AF6A4DF" w14:textId="1DCB697A" w:rsidR="00371B99" w:rsidRDefault="00FA557A" w:rsidP="0099757A">
      <w:pPr>
        <w:pStyle w:val="Heading2"/>
      </w:pPr>
      <w:r w:rsidRPr="00BD76E6">
        <w:t>EMC-2017-008: FPRs to Minimize Fir Mortality from Root Diseases</w:t>
      </w:r>
      <w:r>
        <w:t>.</w:t>
      </w:r>
    </w:p>
    <w:p w14:paraId="66F3B6DB" w14:textId="77777777" w:rsidR="001611C1" w:rsidRDefault="005159AC" w:rsidP="00CA6D91">
      <w:r w:rsidRPr="004A70A8">
        <w:t>Results for this project are expected in 2022, and as such, no publications or presentations occurred in 2021.</w:t>
      </w:r>
      <w:r>
        <w:t xml:space="preserve"> A project update was provided at the October 21, 2021 meeting, and Mr. Cobb reported that at least three </w:t>
      </w:r>
      <w:r w:rsidRPr="004A70A8">
        <w:t xml:space="preserve">publications were </w:t>
      </w:r>
      <w:r>
        <w:t xml:space="preserve">either </w:t>
      </w:r>
      <w:r w:rsidRPr="004A70A8">
        <w:t>in</w:t>
      </w:r>
      <w:r>
        <w:t xml:space="preserve"> </w:t>
      </w:r>
      <w:r w:rsidRPr="004A70A8">
        <w:t xml:space="preserve">development, recently submitted, or in review, and a final project presentation </w:t>
      </w:r>
      <w:r>
        <w:t xml:space="preserve">would </w:t>
      </w:r>
      <w:r w:rsidRPr="004A70A8">
        <w:t>be provided to the EMC in early 2022.</w:t>
      </w:r>
      <w:r w:rsidR="001611C1">
        <w:rPr>
          <w:spacing w:val="0"/>
        </w:rPr>
        <w:t xml:space="preserve"> </w:t>
      </w:r>
      <w:r w:rsidR="001611C1">
        <w:t xml:space="preserve">Mr. Cobb provided information on the articles as follows: </w:t>
      </w:r>
    </w:p>
    <w:p w14:paraId="2EF74107" w14:textId="77777777" w:rsidR="001611C1" w:rsidRPr="001611C1" w:rsidRDefault="001611C1" w:rsidP="001611C1">
      <w:pPr>
        <w:pStyle w:val="ListParagraph"/>
        <w:numPr>
          <w:ilvl w:val="0"/>
          <w:numId w:val="46"/>
        </w:numPr>
        <w:spacing w:after="60"/>
        <w:rPr>
          <w:spacing w:val="0"/>
        </w:rPr>
      </w:pPr>
      <w:r>
        <w:t>An article titled, “</w:t>
      </w:r>
      <w:r w:rsidRPr="001611C1">
        <w:t xml:space="preserve">Efficacy of Chemical and Biological Stump Treatments for the Control of </w:t>
      </w:r>
      <w:proofErr w:type="spellStart"/>
      <w:r w:rsidRPr="00594572">
        <w:rPr>
          <w:i/>
          <w:iCs/>
        </w:rPr>
        <w:t>Heterobasidion</w:t>
      </w:r>
      <w:proofErr w:type="spellEnd"/>
      <w:r w:rsidRPr="00594572">
        <w:rPr>
          <w:i/>
          <w:iCs/>
        </w:rPr>
        <w:t xml:space="preserve"> </w:t>
      </w:r>
      <w:proofErr w:type="spellStart"/>
      <w:r w:rsidRPr="00594572">
        <w:rPr>
          <w:i/>
          <w:iCs/>
        </w:rPr>
        <w:t>occidentale</w:t>
      </w:r>
      <w:proofErr w:type="spellEnd"/>
      <w:r w:rsidRPr="001611C1">
        <w:t xml:space="preserve"> Infection of California </w:t>
      </w:r>
      <w:proofErr w:type="spellStart"/>
      <w:r w:rsidRPr="001611C1">
        <w:rPr>
          <w:i/>
          <w:iCs/>
        </w:rPr>
        <w:t>Abies</w:t>
      </w:r>
      <w:proofErr w:type="spellEnd"/>
      <w:r w:rsidRPr="001611C1">
        <w:rPr>
          <w:i/>
          <w:iCs/>
        </w:rPr>
        <w:t xml:space="preserve"> </w:t>
      </w:r>
      <w:proofErr w:type="spellStart"/>
      <w:r w:rsidRPr="001611C1">
        <w:rPr>
          <w:i/>
          <w:iCs/>
        </w:rPr>
        <w:t>concolor</w:t>
      </w:r>
      <w:proofErr w:type="spellEnd"/>
      <w:r>
        <w:t xml:space="preserve">” is in review with the journal </w:t>
      </w:r>
      <w:r w:rsidRPr="001611C1">
        <w:rPr>
          <w:i/>
          <w:iCs/>
        </w:rPr>
        <w:t xml:space="preserve">Pathogens. </w:t>
      </w:r>
    </w:p>
    <w:p w14:paraId="6806A84F" w14:textId="77777777" w:rsidR="001611C1" w:rsidRPr="001611C1" w:rsidRDefault="001611C1" w:rsidP="001611C1">
      <w:pPr>
        <w:pStyle w:val="ListParagraph"/>
        <w:numPr>
          <w:ilvl w:val="0"/>
          <w:numId w:val="46"/>
        </w:numPr>
        <w:spacing w:after="60"/>
        <w:rPr>
          <w:spacing w:val="0"/>
        </w:rPr>
      </w:pPr>
      <w:r>
        <w:t>A second article titled, “</w:t>
      </w:r>
      <w:proofErr w:type="spellStart"/>
      <w:r w:rsidRPr="001611C1">
        <w:t>Heterobasidion</w:t>
      </w:r>
      <w:proofErr w:type="spellEnd"/>
      <w:r w:rsidRPr="001611C1">
        <w:t xml:space="preserve"> effects on stand composition over fifty years of root disease in California fir and pine forests</w:t>
      </w:r>
      <w:r>
        <w:t xml:space="preserve">” will be submitted to a journal soon. </w:t>
      </w:r>
    </w:p>
    <w:p w14:paraId="67D1C33F" w14:textId="5E867A17" w:rsidR="00FA557A" w:rsidRPr="001611C1" w:rsidRDefault="001611C1" w:rsidP="001611C1">
      <w:pPr>
        <w:pStyle w:val="ListParagraph"/>
        <w:numPr>
          <w:ilvl w:val="0"/>
          <w:numId w:val="46"/>
        </w:numPr>
        <w:spacing w:after="60"/>
        <w:rPr>
          <w:spacing w:val="0"/>
        </w:rPr>
      </w:pPr>
      <w:r>
        <w:t>A third article titled, “</w:t>
      </w:r>
      <w:r w:rsidRPr="001611C1">
        <w:t xml:space="preserve">Interactions between forest structure, host community, and pathogen identity during 50 years of </w:t>
      </w:r>
      <w:proofErr w:type="spellStart"/>
      <w:r w:rsidRPr="001611C1">
        <w:t>Heterobasidion</w:t>
      </w:r>
      <w:proofErr w:type="spellEnd"/>
      <w:r w:rsidRPr="001611C1">
        <w:t xml:space="preserve"> root disease in the Sierra Nevada - Southern Cascade Mountains</w:t>
      </w:r>
      <w:r>
        <w:t xml:space="preserve">” is being prepared. </w:t>
      </w:r>
    </w:p>
    <w:p w14:paraId="7DFCEB5C" w14:textId="19200A70" w:rsidR="00E413A8" w:rsidRDefault="00E413A8" w:rsidP="000333B1">
      <w:pPr>
        <w:pStyle w:val="Heading2"/>
        <w:rPr>
          <w:bdr w:val="none" w:sz="0" w:space="0" w:color="auto" w:frame="1"/>
          <w:shd w:val="clear" w:color="auto" w:fill="FFFFFF"/>
        </w:rPr>
      </w:pPr>
      <w:r w:rsidRPr="00BD76E6">
        <w:rPr>
          <w:bdr w:val="none" w:sz="0" w:space="0" w:color="auto" w:frame="1"/>
          <w:shd w:val="clear" w:color="auto" w:fill="FFFFFF"/>
        </w:rPr>
        <w:t>EMC-2018-003: Alternative Meadow Restoration</w:t>
      </w:r>
    </w:p>
    <w:p w14:paraId="505BB91A" w14:textId="66A3E944" w:rsidR="00640F2C" w:rsidRPr="000D3433" w:rsidRDefault="00342FDF" w:rsidP="00CA6D91">
      <w:pPr>
        <w:rPr>
          <w:spacing w:val="0"/>
        </w:rPr>
      </w:pPr>
      <w:r w:rsidRPr="004A70A8">
        <w:t>Results for this project are expected in 2022, and as such, no publications or presentations occurred in 2021.</w:t>
      </w:r>
      <w:r>
        <w:t xml:space="preserve"> A project update was provided at the April 21, 2021 meeting.</w:t>
      </w:r>
    </w:p>
    <w:p w14:paraId="2CB43B0E" w14:textId="1AAC4C0F" w:rsidR="003B3E4E" w:rsidRPr="00D34464" w:rsidRDefault="003B3E4E" w:rsidP="0099757A">
      <w:pPr>
        <w:pStyle w:val="Heading2"/>
      </w:pPr>
      <w:r w:rsidRPr="00BD76E6">
        <w:t>EMC-2018-006: Class II Watercourse and Lake Protection Zone</w:t>
      </w:r>
      <w:r w:rsidRPr="00D34464">
        <w:t xml:space="preserve"> </w:t>
      </w:r>
    </w:p>
    <w:p w14:paraId="692252F7" w14:textId="00D6C8BE" w:rsidR="003B3E4E" w:rsidRPr="006D601D" w:rsidRDefault="00703D90" w:rsidP="00CA6D91">
      <w:r w:rsidRPr="00703D90">
        <w:t xml:space="preserve">A </w:t>
      </w:r>
      <w:r w:rsidRPr="0099757A">
        <w:t>project update was provided at the April 21, 2021 EMC meeting</w:t>
      </w:r>
      <w:r w:rsidRPr="00703D90">
        <w:t xml:space="preserve">. </w:t>
      </w:r>
      <w:r w:rsidR="00380780" w:rsidRPr="00703D90">
        <w:t xml:space="preserve">A </w:t>
      </w:r>
      <w:r w:rsidRPr="00703D90">
        <w:t xml:space="preserve">recorded project </w:t>
      </w:r>
      <w:r w:rsidR="003B3E4E" w:rsidRPr="00703D90">
        <w:t>presentation</w:t>
      </w:r>
      <w:r w:rsidRPr="00703D90">
        <w:t xml:space="preserve">, virtual field tour, and project status update were provided at the July 21, </w:t>
      </w:r>
      <w:r w:rsidR="003B3E4E" w:rsidRPr="00703D90">
        <w:t>2021 EMC meeting</w:t>
      </w:r>
      <w:r w:rsidRPr="00703D90">
        <w:t>. Final r</w:t>
      </w:r>
      <w:r w:rsidR="003B3E4E" w:rsidRPr="00703D90">
        <w:t>esults for this project are expected in 2023.</w:t>
      </w:r>
    </w:p>
    <w:p w14:paraId="7D3D2A13" w14:textId="5ED86A25" w:rsidR="00E413A8" w:rsidRDefault="00B87823" w:rsidP="000333B1">
      <w:pPr>
        <w:pStyle w:val="Heading2"/>
      </w:pPr>
      <w:r w:rsidRPr="00B87823">
        <w:t>EMC-2019-002: Evaluating Treatment Longevity and Maintenance Needs for Fuel Reduction Projects Implemented in the Wildland Urban Interface of Plumas County, CA</w:t>
      </w:r>
    </w:p>
    <w:p w14:paraId="152ACBB5" w14:textId="5433ACEA" w:rsidR="001423C5" w:rsidRPr="000D3433" w:rsidRDefault="001423C5" w:rsidP="00CA6D91">
      <w:pPr>
        <w:rPr>
          <w:spacing w:val="0"/>
        </w:rPr>
      </w:pPr>
      <w:r w:rsidRPr="00360740">
        <w:t xml:space="preserve">Project updates were provided at </w:t>
      </w:r>
      <w:r w:rsidR="00360740" w:rsidRPr="00002BE5">
        <w:t xml:space="preserve">the July 21 and October 21, 2021 </w:t>
      </w:r>
      <w:r w:rsidRPr="00360740">
        <w:t>EMC meetings, and results are expected in 2022.</w:t>
      </w:r>
    </w:p>
    <w:p w14:paraId="79251765" w14:textId="7F154753" w:rsidR="00B87823" w:rsidRDefault="00B13F3B" w:rsidP="000333B1">
      <w:pPr>
        <w:pStyle w:val="Heading2"/>
      </w:pPr>
      <w:r w:rsidRPr="00BD76E6">
        <w:lastRenderedPageBreak/>
        <w:t>EMC-2019-003: Fuel Treatments and Hydrologic Implications in the Sierra Nevada</w:t>
      </w:r>
    </w:p>
    <w:p w14:paraId="6E5E3B21" w14:textId="5924D867" w:rsidR="00B13F3B" w:rsidRDefault="00896A0C" w:rsidP="00CA6D91">
      <w:r>
        <w:t>No project updates or deliverables were provided in 2021.</w:t>
      </w:r>
      <w:r w:rsidR="00B13F3B">
        <w:t xml:space="preserve"> </w:t>
      </w:r>
    </w:p>
    <w:p w14:paraId="019CE0D9" w14:textId="375FB954" w:rsidR="00B13F3B" w:rsidRDefault="00B13F3B" w:rsidP="00002BE5">
      <w:pPr>
        <w:pStyle w:val="Heading2"/>
      </w:pPr>
      <w:r>
        <w:t>E</w:t>
      </w:r>
      <w:r w:rsidRPr="00186855">
        <w:t>MC-2019-005: Sediment Monitoring and Fish Habitat – San Vicente Accelerated Wood Recruitment</w:t>
      </w:r>
    </w:p>
    <w:bookmarkEnd w:id="10"/>
    <w:p w14:paraId="09874CA6" w14:textId="460741D4" w:rsidR="00896A0C" w:rsidRDefault="00896A0C" w:rsidP="00CA6D91">
      <w:r w:rsidRPr="004A70A8">
        <w:t>Results for this project are expected in 2022, and as such, no publications or presentations occurred in 2021.</w:t>
      </w:r>
      <w:r>
        <w:t xml:space="preserve"> Project updates were provided at the April 21 and October 21, 2021 meetings. </w:t>
      </w:r>
    </w:p>
    <w:p w14:paraId="2D43049B" w14:textId="77777777" w:rsidR="00AA03E0" w:rsidRPr="00467F7A" w:rsidRDefault="00AA03E0" w:rsidP="00002BE5">
      <w:pPr>
        <w:pStyle w:val="Heading1"/>
        <w:spacing w:before="60" w:after="60"/>
        <w:contextualSpacing w:val="0"/>
      </w:pPr>
      <w:r w:rsidRPr="00467F7A">
        <w:t>POTENTIAL EMC PROJECT IMPACTS TO REGULATIONS</w:t>
      </w:r>
    </w:p>
    <w:p w14:paraId="4C4F9858" w14:textId="7B18600E" w:rsidR="00CA6D91" w:rsidRPr="003F688A" w:rsidRDefault="00F450E5" w:rsidP="003F688A">
      <w:r w:rsidRPr="00CF0B6B">
        <w:t>The EMC provides valuable insight to the Board on testing the effectiveness of their rules and regulations by way of science</w:t>
      </w:r>
      <w:r w:rsidR="009D7543" w:rsidRPr="00CF0B6B">
        <w:t>-</w:t>
      </w:r>
      <w:r w:rsidRPr="00CF0B6B">
        <w:t>based research projects. EMC</w:t>
      </w:r>
      <w:r w:rsidR="00EE0471" w:rsidRPr="00CF0B6B">
        <w:t>-</w:t>
      </w:r>
      <w:r w:rsidRPr="00CF0B6B">
        <w:t>funded studies may show that regulatory modifications, either minor or major,</w:t>
      </w:r>
      <w:r w:rsidR="009129CD" w:rsidRPr="00CF0B6B">
        <w:t xml:space="preserve"> </w:t>
      </w:r>
      <w:r w:rsidRPr="00CF0B6B">
        <w:t xml:space="preserve">need to occur to </w:t>
      </w:r>
      <w:r w:rsidR="009129CD" w:rsidRPr="00CF0B6B">
        <w:t>ensure the effectiveness of the</w:t>
      </w:r>
      <w:r w:rsidR="002D3E07" w:rsidRPr="00CF0B6B">
        <w:t xml:space="preserve"> Forest Practice Rules (14 CCR § 895 et seq.). </w:t>
      </w:r>
      <w:r w:rsidR="004258C7">
        <w:t xml:space="preserve">The EMC </w:t>
      </w:r>
      <w:r w:rsidR="00A93CA2">
        <w:t xml:space="preserve">moved </w:t>
      </w:r>
      <w:r w:rsidR="004258C7">
        <w:t xml:space="preserve">findings from EMC-2015-001 </w:t>
      </w:r>
      <w:r w:rsidR="003F688A">
        <w:t>(</w:t>
      </w:r>
      <w:r w:rsidR="003F688A" w:rsidRPr="00D44A2B">
        <w:rPr>
          <w:rFonts w:eastAsia="Times New Roman"/>
        </w:rPr>
        <w:t>Class II Large Watercourse Study</w:t>
      </w:r>
      <w:r w:rsidR="003F688A">
        <w:rPr>
          <w:rFonts w:eastAsia="Times New Roman"/>
        </w:rPr>
        <w:t>)</w:t>
      </w:r>
      <w:r w:rsidR="00CA6D91" w:rsidRPr="00CA6D91">
        <w:rPr>
          <w:highlight w:val="yellow"/>
        </w:rPr>
        <w:t xml:space="preserve"> and EMC-2016-002 </w:t>
      </w:r>
      <w:r w:rsidR="003F688A" w:rsidRPr="003F688A">
        <w:t>(</w:t>
      </w:r>
      <w:r w:rsidR="003F688A" w:rsidRPr="006D431D">
        <w:t>Post-fire Effectiveness of the Forest Practice Rules</w:t>
      </w:r>
      <w:r w:rsidR="003F688A">
        <w:t xml:space="preserve">) </w:t>
      </w:r>
      <w:r w:rsidR="00A93CA2">
        <w:t>to the Board for consideration in 2021, and expects to move findings from EMC-2016-003</w:t>
      </w:r>
      <w:r w:rsidR="003F688A">
        <w:t xml:space="preserve"> (</w:t>
      </w:r>
      <w:r w:rsidR="003F688A" w:rsidRPr="00BD76E6">
        <w:t>Repeat LiDAR Surveys to Detect Landslides</w:t>
      </w:r>
      <w:r w:rsidR="003F688A">
        <w:t>)</w:t>
      </w:r>
      <w:r w:rsidR="00A93CA2">
        <w:t>, EMC-2017-006</w:t>
      </w:r>
      <w:r w:rsidR="003F688A">
        <w:t xml:space="preserve"> (</w:t>
      </w:r>
      <w:r w:rsidR="003F688A" w:rsidRPr="00BD76E6">
        <w:t>Tradeoffs among Riparian Buffer Zones, Fire Hazard, and Species Composition in the Sierra Nevada</w:t>
      </w:r>
      <w:r w:rsidR="003F688A">
        <w:t>)</w:t>
      </w:r>
      <w:r w:rsidR="00A93CA2">
        <w:t xml:space="preserve">, and EMC-2017-008 </w:t>
      </w:r>
      <w:r w:rsidR="003F688A">
        <w:t>(</w:t>
      </w:r>
      <w:r w:rsidR="003F688A" w:rsidRPr="00BD76E6">
        <w:t>FPRs to Minimize Fir Mortality from Root Diseases</w:t>
      </w:r>
      <w:r w:rsidR="003F688A">
        <w:t xml:space="preserve">) </w:t>
      </w:r>
      <w:r w:rsidR="00A93CA2">
        <w:t>to the Board for consideration in 2022.</w:t>
      </w:r>
      <w:bookmarkStart w:id="11" w:name="Start"/>
      <w:bookmarkEnd w:id="11"/>
      <w:r w:rsidR="00CA6D91">
        <w:br w:type="page"/>
      </w:r>
    </w:p>
    <w:p w14:paraId="3FB705C6" w14:textId="2D205452" w:rsidR="002B2772" w:rsidRDefault="0083749D" w:rsidP="00002BE5">
      <w:pPr>
        <w:pStyle w:val="Heading1"/>
        <w:spacing w:before="60" w:after="60"/>
        <w:contextualSpacing w:val="0"/>
      </w:pPr>
      <w:r>
        <w:lastRenderedPageBreak/>
        <w:t>REFERENCES CITED</w:t>
      </w:r>
    </w:p>
    <w:p w14:paraId="6D5124C2" w14:textId="489828B1" w:rsidR="0083749D" w:rsidRPr="00002BE5" w:rsidRDefault="0083749D" w:rsidP="00002BE5">
      <w:pPr>
        <w:spacing w:after="60"/>
        <w:ind w:left="720" w:hanging="720"/>
      </w:pPr>
      <w:r>
        <w:t xml:space="preserve">Pate, A.A., C. Segura, and K.D. Bladon. 2020. </w:t>
      </w:r>
      <w:r w:rsidRPr="0083749D">
        <w:t>Streamflow permanence in headwater streams across four geomorphic provinces in Northern California</w:t>
      </w:r>
      <w:r>
        <w:t xml:space="preserve">. </w:t>
      </w:r>
      <w:r>
        <w:rPr>
          <w:i/>
          <w:iCs/>
        </w:rPr>
        <w:t>Hydrological Processes</w:t>
      </w:r>
      <w:r w:rsidRPr="00002BE5">
        <w:t xml:space="preserve"> 34</w:t>
      </w:r>
      <w:r>
        <w:t>(</w:t>
      </w:r>
      <w:r w:rsidRPr="00002BE5">
        <w:t>23</w:t>
      </w:r>
      <w:r>
        <w:t xml:space="preserve">):4487–4504. DOI: </w:t>
      </w:r>
      <w:hyperlink r:id="rId26" w:history="1">
        <w:r w:rsidRPr="00AF12C8">
          <w:rPr>
            <w:rStyle w:val="Hyperlink"/>
          </w:rPr>
          <w:t>https://doi.org/10.1002/hyp.13889</w:t>
        </w:r>
      </w:hyperlink>
      <w:r>
        <w:t xml:space="preserve">  </w:t>
      </w:r>
    </w:p>
    <w:sectPr w:rsidR="0083749D" w:rsidRPr="00002BE5" w:rsidSect="00A366CF">
      <w:headerReference w:type="even" r:id="rId27"/>
      <w:headerReference w:type="default" r:id="rId28"/>
      <w:headerReference w:type="first" r:id="rId2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7A21C" w14:textId="77777777" w:rsidR="00A91380" w:rsidRDefault="00A91380" w:rsidP="00744865"/>
    <w:p w14:paraId="30A2D288" w14:textId="77777777" w:rsidR="00A91380" w:rsidRDefault="00A91380" w:rsidP="00744865"/>
    <w:p w14:paraId="71737462" w14:textId="77777777" w:rsidR="00A91380" w:rsidRDefault="00A91380"/>
  </w:endnote>
  <w:endnote w:type="continuationSeparator" w:id="0">
    <w:p w14:paraId="6C059D03" w14:textId="77777777" w:rsidR="00A91380" w:rsidRDefault="00A91380" w:rsidP="00744865">
      <w:r>
        <w:t xml:space="preserve"> </w:t>
      </w:r>
    </w:p>
    <w:p w14:paraId="2E657028" w14:textId="77777777" w:rsidR="00A91380" w:rsidRDefault="00A91380" w:rsidP="00744865"/>
    <w:p w14:paraId="048C6FF3" w14:textId="77777777" w:rsidR="00A91380" w:rsidRDefault="00A91380"/>
  </w:endnote>
  <w:endnote w:type="continuationNotice" w:id="1">
    <w:p w14:paraId="550FEA1B" w14:textId="77777777" w:rsidR="00A91380" w:rsidRDefault="00A91380" w:rsidP="00744865">
      <w:r>
        <w:t xml:space="preserve"> </w:t>
      </w:r>
    </w:p>
    <w:p w14:paraId="5E94FB5A" w14:textId="77777777" w:rsidR="00A91380" w:rsidRDefault="00A91380" w:rsidP="00744865"/>
    <w:p w14:paraId="147B9AF8" w14:textId="77777777" w:rsidR="00A91380" w:rsidRDefault="00A913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38249" w14:textId="77777777" w:rsidR="006C0114" w:rsidRPr="000333B1" w:rsidRDefault="006C0114" w:rsidP="000333B1">
    <w:pPr>
      <w:pStyle w:val="Footer"/>
      <w:spacing w:after="0"/>
      <w:rPr>
        <w:i/>
        <w:iCs/>
      </w:rPr>
    </w:pPr>
    <w:r w:rsidRPr="000333B1">
      <w:rPr>
        <w:i/>
        <w:iCs/>
      </w:rPr>
      <w:t xml:space="preserve">12/13/2021 </w:t>
    </w:r>
  </w:p>
  <w:p w14:paraId="7D28BE37" w14:textId="395A891E" w:rsidR="006C0114" w:rsidRDefault="006C0114" w:rsidP="000333B1">
    <w:pPr>
      <w:pStyle w:val="Footer"/>
      <w:jc w:val="center"/>
    </w:pPr>
    <w:r>
      <w:fldChar w:fldCharType="begin"/>
    </w:r>
    <w:r>
      <w:instrText xml:space="preserve"> PAGE   \* MERGEFORMAT </w:instrText>
    </w:r>
    <w:r>
      <w:fldChar w:fldCharType="separate"/>
    </w:r>
    <w:r w:rsidR="00690548">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43297" w14:textId="77777777" w:rsidR="00A91380" w:rsidRDefault="00A91380" w:rsidP="00744865">
      <w:r>
        <w:separator/>
      </w:r>
    </w:p>
    <w:p w14:paraId="5335AAD6" w14:textId="77777777" w:rsidR="00A91380" w:rsidRDefault="00A91380" w:rsidP="00744865"/>
    <w:p w14:paraId="4CE7C7BB" w14:textId="77777777" w:rsidR="00A91380" w:rsidRDefault="00A91380"/>
  </w:footnote>
  <w:footnote w:type="continuationSeparator" w:id="0">
    <w:p w14:paraId="040C33B5" w14:textId="77777777" w:rsidR="00A91380" w:rsidRDefault="00A91380" w:rsidP="00744865">
      <w:r>
        <w:continuationSeparator/>
      </w:r>
    </w:p>
    <w:p w14:paraId="63285E6C" w14:textId="77777777" w:rsidR="00A91380" w:rsidRDefault="00A91380" w:rsidP="00744865"/>
    <w:p w14:paraId="1EBB53DE" w14:textId="77777777" w:rsidR="00A91380" w:rsidRDefault="00A91380"/>
  </w:footnote>
  <w:footnote w:id="1">
    <w:p w14:paraId="2FADB015" w14:textId="071F040B" w:rsidR="006C0114" w:rsidRPr="00F0431D" w:rsidRDefault="006C0114" w:rsidP="00F0431D">
      <w:pPr>
        <w:pStyle w:val="FootnoteText"/>
        <w:spacing w:before="0" w:after="0"/>
        <w:ind w:left="90" w:hanging="90"/>
        <w:rPr>
          <w:sz w:val="20"/>
          <w:szCs w:val="20"/>
        </w:rPr>
      </w:pPr>
      <w:r w:rsidRPr="00F0431D">
        <w:rPr>
          <w:rStyle w:val="FootnoteReference"/>
          <w:sz w:val="20"/>
          <w:szCs w:val="20"/>
        </w:rPr>
        <w:t>1</w:t>
      </w:r>
      <w:r w:rsidRPr="00F0431D">
        <w:rPr>
          <w:sz w:val="20"/>
          <w:szCs w:val="20"/>
        </w:rPr>
        <w:t xml:space="preserve"> AB-1492 Forest resource management (2011-2012), Health &amp; Safety Code 13009.2; see </w:t>
      </w:r>
      <w:hyperlink r:id="rId1" w:history="1">
        <w:r w:rsidRPr="00F0431D">
          <w:rPr>
            <w:rStyle w:val="Hyperlink"/>
            <w:sz w:val="20"/>
            <w:szCs w:val="20"/>
          </w:rPr>
          <w:t>https://leginfo.legislature.ca.gov/faces/billNavClient.xhtml?bill_id=201120120AB1492</w:t>
        </w:r>
      </w:hyperlink>
      <w:r w:rsidRPr="00F0431D">
        <w:rPr>
          <w:sz w:val="20"/>
          <w:szCs w:val="20"/>
        </w:rPr>
        <w:t xml:space="preserve"> </w:t>
      </w:r>
    </w:p>
  </w:footnote>
  <w:footnote w:id="2">
    <w:p w14:paraId="4FA6E47E" w14:textId="75E41718" w:rsidR="006C0114" w:rsidRPr="00F0431D" w:rsidRDefault="006C0114" w:rsidP="00F0431D">
      <w:pPr>
        <w:pStyle w:val="FootnoteText"/>
        <w:spacing w:before="0" w:after="0"/>
        <w:rPr>
          <w:sz w:val="20"/>
          <w:szCs w:val="20"/>
        </w:rPr>
      </w:pPr>
      <w:r w:rsidRPr="00F0431D">
        <w:rPr>
          <w:rStyle w:val="FootnoteReference"/>
          <w:sz w:val="20"/>
          <w:szCs w:val="20"/>
        </w:rPr>
        <w:t>2</w:t>
      </w:r>
      <w:r w:rsidRPr="00F0431D">
        <w:rPr>
          <w:sz w:val="20"/>
          <w:szCs w:val="20"/>
        </w:rPr>
        <w:t xml:space="preserve"> https://bof.fire.ca.gov/media/10115/effectiveness-monitoring-committee-charter-7120_ada.pdf </w:t>
      </w:r>
    </w:p>
  </w:footnote>
  <w:footnote w:id="3">
    <w:p w14:paraId="0B67E941" w14:textId="7B1D23E3" w:rsidR="006C0114" w:rsidRPr="00F0431D" w:rsidRDefault="006C0114" w:rsidP="00F0431D">
      <w:pPr>
        <w:pStyle w:val="FootnoteText"/>
        <w:spacing w:before="0" w:after="0"/>
        <w:rPr>
          <w:sz w:val="20"/>
          <w:szCs w:val="20"/>
        </w:rPr>
      </w:pPr>
      <w:r w:rsidRPr="00F0431D">
        <w:rPr>
          <w:rStyle w:val="FootnoteReference"/>
          <w:sz w:val="20"/>
          <w:szCs w:val="20"/>
        </w:rPr>
        <w:footnoteRef/>
      </w:r>
      <w:r w:rsidRPr="00F0431D">
        <w:rPr>
          <w:sz w:val="20"/>
          <w:szCs w:val="20"/>
        </w:rPr>
        <w:t xml:space="preserve"> https://bof.fire.ca.gov/media/9122/2018-emc-strategic-plan-ada.pdf</w:t>
      </w:r>
    </w:p>
  </w:footnote>
  <w:footnote w:id="4">
    <w:p w14:paraId="0CE7347C" w14:textId="424D5655" w:rsidR="006C0114" w:rsidRDefault="006C0114" w:rsidP="00F0431D">
      <w:pPr>
        <w:pStyle w:val="FootnoteText"/>
        <w:spacing w:before="0" w:after="0"/>
      </w:pPr>
      <w:r w:rsidRPr="00F0431D">
        <w:rPr>
          <w:rStyle w:val="FootnoteReference"/>
          <w:sz w:val="20"/>
          <w:szCs w:val="20"/>
        </w:rPr>
        <w:footnoteRef/>
      </w:r>
      <w:r w:rsidRPr="00F0431D">
        <w:rPr>
          <w:sz w:val="20"/>
          <w:szCs w:val="20"/>
        </w:rPr>
        <w:t xml:space="preserve"> https://bof.fire.ca.gov/media/gijnn1q0/2020-emc-annual-report-and-workplan.pdf</w:t>
      </w:r>
    </w:p>
  </w:footnote>
  <w:footnote w:id="5">
    <w:p w14:paraId="641F15E1" w14:textId="7B1D23E3" w:rsidR="006C0114" w:rsidRDefault="006C0114" w:rsidP="00744865">
      <w:pPr>
        <w:pStyle w:val="FootnoteText"/>
      </w:pPr>
      <w:r>
        <w:rPr>
          <w:rStyle w:val="FootnoteReference"/>
        </w:rPr>
        <w:footnoteRef/>
      </w:r>
      <w:r>
        <w:t xml:space="preserve"> </w:t>
      </w:r>
      <w:hyperlink r:id="rId2" w:history="1">
        <w:r w:rsidRPr="00827DC3">
          <w:rPr>
            <w:rStyle w:val="Hyperlink"/>
            <w:rFonts w:ascii="Calibri" w:hAnsi="Calibri"/>
          </w:rPr>
          <w:t>http://leginfo.legislature.ca.gov/faces/billNavClient.xhtml?bill_id=201120120AB1492</w:t>
        </w:r>
      </w:hyperlink>
      <w:r w:rsidRPr="00827DC3">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70369" w14:textId="18268280" w:rsidR="006C0114" w:rsidRDefault="00690548" w:rsidP="00744865">
    <w:pPr>
      <w:pStyle w:val="Header"/>
    </w:pPr>
    <w:r>
      <w:rPr>
        <w:noProof/>
      </w:rPr>
      <w:pict w14:anchorId="0442F7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905032" o:spid="_x0000_s2056" type="#_x0000_t136" style="position:absolute;margin-left:0;margin-top:0;width:391.25pt;height:234.7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C0114">
      <w:rPr>
        <w:noProof/>
      </w:rPr>
      <mc:AlternateContent>
        <mc:Choice Requires="wps">
          <w:drawing>
            <wp:anchor distT="0" distB="0" distL="114300" distR="114300" simplePos="0" relativeHeight="251657216" behindDoc="1" locked="0" layoutInCell="0" allowOverlap="1" wp14:anchorId="5297B712" wp14:editId="7AB4477D">
              <wp:simplePos x="0" y="0"/>
              <wp:positionH relativeFrom="margin">
                <wp:align>center</wp:align>
              </wp:positionH>
              <wp:positionV relativeFrom="margin">
                <wp:align>center</wp:align>
              </wp:positionV>
              <wp:extent cx="5678805" cy="2271395"/>
              <wp:effectExtent l="0" t="1447800" r="0" b="13100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78805" cy="2271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5D2FCE" w14:textId="77777777" w:rsidR="006C0114" w:rsidRDefault="006C0114" w:rsidP="00744865">
                          <w:pPr>
                            <w:rPr>
                              <w:sz w:val="24"/>
                              <w:szCs w:val="24"/>
                            </w:rPr>
                          </w:pPr>
                          <w: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5297B712" id="_x0000_t202" coordsize="21600,21600" o:spt="202" path="m,l,21600r21600,l21600,xe">
              <v:stroke joinstyle="miter"/>
              <v:path gradientshapeok="t" o:connecttype="rect"/>
            </v:shapetype>
            <v:shape id="Text Box 5" o:spid="_x0000_s1026" type="#_x0000_t202" style="position:absolute;margin-left:0;margin-top:0;width:447.15pt;height:178.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" o:allowincell="f" filled="f" stroked="f">
              <v:stroke joinstyle="round"/>
              <o:lock v:ext="edit" shapetype="t"/>
              <v:textbox style="mso-fit-shape-to-text:t">
                <w:txbxContent>
                  <w:p w14:paraId="3B5D2FCE" w14:textId="77777777" w:rsidR="006C0114" w:rsidRDefault="006C0114" w:rsidP="00744865">
                    <w:pPr>
                      <w:rPr>
                        <w:sz w:val="24"/>
                        <w:szCs w:val="24"/>
                      </w:rPr>
                    </w:pPr>
                    <w: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56809" w14:textId="242C5474" w:rsidR="006C0114" w:rsidRDefault="00690548">
    <w:pPr>
      <w:pStyle w:val="Header"/>
    </w:pPr>
    <w:r>
      <w:rPr>
        <w:noProof/>
      </w:rPr>
      <w:pict w14:anchorId="58071E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905033" o:spid="_x0000_s2057" type="#_x0000_t136" style="position:absolute;margin-left:0;margin-top:0;width:391.25pt;height:234.7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B7F08" w14:textId="6F0E26EC" w:rsidR="006C0114" w:rsidRDefault="00690548">
    <w:pPr>
      <w:pStyle w:val="Header"/>
    </w:pPr>
    <w:r>
      <w:rPr>
        <w:noProof/>
      </w:rPr>
      <w:pict w14:anchorId="5650A6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905031" o:spid="_x0000_s2055" type="#_x0000_t136" style="position:absolute;margin-left:0;margin-top:0;width:391.25pt;height:234.7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F1D95" w14:textId="29B0674A" w:rsidR="006C0114" w:rsidRDefault="00690548">
    <w:pPr>
      <w:pStyle w:val="Header"/>
    </w:pPr>
    <w:r>
      <w:rPr>
        <w:noProof/>
      </w:rPr>
      <w:pict w14:anchorId="38B57C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391.25pt;height:234.75pt;rotation:315;z-index:-2516418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EBCE7" w14:textId="77777777" w:rsidR="006C0114" w:rsidRDefault="006C011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0CE69" w14:textId="43EF350D" w:rsidR="006C0114" w:rsidRDefault="006C0114">
    <w:pPr>
      <w:pBdr>
        <w:bottom w:val="single" w:sz="4" w:space="1" w:color="auto"/>
      </w:pBdr>
      <w:tabs>
        <w:tab w:val="right" w:pos="15120"/>
      </w:tabs>
      <w:spacing w:after="60"/>
      <w:rPr>
        <w:rFonts w:ascii="Times New Roman" w:eastAsia="Times New Roman" w:hAnsi="Times New Roman" w:cs="Times New Roman"/>
        <w:spacing w:val="0"/>
        <w:sz w:val="20"/>
        <w:szCs w:val="20"/>
      </w:rPr>
    </w:pPr>
    <w:r>
      <w:rPr>
        <w:rFonts w:ascii="Calibri" w:eastAsia="Times New Roman" w:hAnsi="Calibri" w:cs="Calibri"/>
        <w:i/>
        <w:color w:val="A6A6A6"/>
        <w:spacing w:val="0"/>
        <w:lang w:val="en"/>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1418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B28DE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0C47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42A7E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8C66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E249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62BA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2ED4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E82C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D6F6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738DF"/>
    <w:multiLevelType w:val="hybridMultilevel"/>
    <w:tmpl w:val="742A0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6E400BC"/>
    <w:multiLevelType w:val="hybridMultilevel"/>
    <w:tmpl w:val="CD56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F929BD"/>
    <w:multiLevelType w:val="hybridMultilevel"/>
    <w:tmpl w:val="594291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16349E"/>
    <w:multiLevelType w:val="hybridMultilevel"/>
    <w:tmpl w:val="BD62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CA4416"/>
    <w:multiLevelType w:val="hybridMultilevel"/>
    <w:tmpl w:val="6560B4B4"/>
    <w:lvl w:ilvl="0" w:tplc="0409000F">
      <w:start w:val="1"/>
      <w:numFmt w:val="decimal"/>
      <w:lvlText w:val="%1."/>
      <w:lvlJc w:val="left"/>
      <w:pPr>
        <w:ind w:left="720" w:hanging="360"/>
      </w:pPr>
    </w:lvl>
    <w:lvl w:ilvl="1" w:tplc="82BAAA1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624B58"/>
    <w:multiLevelType w:val="hybridMultilevel"/>
    <w:tmpl w:val="4AAAB710"/>
    <w:lvl w:ilvl="0" w:tplc="E90E5BE4">
      <w:start w:val="1"/>
      <w:numFmt w:val="decimal"/>
      <w:lvlText w:val="( %1 )"/>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0F9617A6"/>
    <w:multiLevelType w:val="hybridMultilevel"/>
    <w:tmpl w:val="09402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FB4C97"/>
    <w:multiLevelType w:val="hybridMultilevel"/>
    <w:tmpl w:val="1A020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F349E8"/>
    <w:multiLevelType w:val="hybridMultilevel"/>
    <w:tmpl w:val="B5FC2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E4467B"/>
    <w:multiLevelType w:val="hybridMultilevel"/>
    <w:tmpl w:val="5B44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6C0B9B"/>
    <w:multiLevelType w:val="hybridMultilevel"/>
    <w:tmpl w:val="F0EC5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98439D"/>
    <w:multiLevelType w:val="hybridMultilevel"/>
    <w:tmpl w:val="23FE4A3C"/>
    <w:lvl w:ilvl="0" w:tplc="04090001">
      <w:start w:val="1"/>
      <w:numFmt w:val="bullet"/>
      <w:lvlText w:val=""/>
      <w:lvlJc w:val="left"/>
      <w:pPr>
        <w:ind w:left="720" w:hanging="360"/>
      </w:pPr>
      <w:rPr>
        <w:rFonts w:ascii="Symbol" w:hAnsi="Symbol" w:hint="default"/>
      </w:rPr>
    </w:lvl>
    <w:lvl w:ilvl="1" w:tplc="7B341614">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BA5333"/>
    <w:multiLevelType w:val="hybridMultilevel"/>
    <w:tmpl w:val="1432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7232D9"/>
    <w:multiLevelType w:val="hybridMultilevel"/>
    <w:tmpl w:val="D598E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A0442C"/>
    <w:multiLevelType w:val="hybridMultilevel"/>
    <w:tmpl w:val="CDF23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9C3A8D"/>
    <w:multiLevelType w:val="hybridMultilevel"/>
    <w:tmpl w:val="D23259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096058"/>
    <w:multiLevelType w:val="hybridMultilevel"/>
    <w:tmpl w:val="BE5A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5B3F40"/>
    <w:multiLevelType w:val="hybridMultilevel"/>
    <w:tmpl w:val="87F08D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B7B024C"/>
    <w:multiLevelType w:val="hybridMultilevel"/>
    <w:tmpl w:val="E22C7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F92BC5"/>
    <w:multiLevelType w:val="hybridMultilevel"/>
    <w:tmpl w:val="09402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A775CF"/>
    <w:multiLevelType w:val="hybridMultilevel"/>
    <w:tmpl w:val="806AF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834217"/>
    <w:multiLevelType w:val="hybridMultilevel"/>
    <w:tmpl w:val="5ED20F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2F42013"/>
    <w:multiLevelType w:val="hybridMultilevel"/>
    <w:tmpl w:val="4DEA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5A618F"/>
    <w:multiLevelType w:val="hybridMultilevel"/>
    <w:tmpl w:val="B88ED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C302A0"/>
    <w:multiLevelType w:val="hybridMultilevel"/>
    <w:tmpl w:val="A538F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0B30E4E"/>
    <w:multiLevelType w:val="hybridMultilevel"/>
    <w:tmpl w:val="14545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953AB0"/>
    <w:multiLevelType w:val="hybridMultilevel"/>
    <w:tmpl w:val="5B38F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284954"/>
    <w:multiLevelType w:val="hybridMultilevel"/>
    <w:tmpl w:val="FADA05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360D81"/>
    <w:multiLevelType w:val="multilevel"/>
    <w:tmpl w:val="5F5A6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FD7D59"/>
    <w:multiLevelType w:val="hybridMultilevel"/>
    <w:tmpl w:val="43BA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D81515"/>
    <w:multiLevelType w:val="hybridMultilevel"/>
    <w:tmpl w:val="28140A30"/>
    <w:lvl w:ilvl="0" w:tplc="ABDC8260">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B9A0F92"/>
    <w:multiLevelType w:val="hybridMultilevel"/>
    <w:tmpl w:val="2818A2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564EB5"/>
    <w:multiLevelType w:val="hybridMultilevel"/>
    <w:tmpl w:val="81D0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0"/>
  </w:num>
  <w:num w:numId="3">
    <w:abstractNumId w:val="35"/>
  </w:num>
  <w:num w:numId="4">
    <w:abstractNumId w:val="10"/>
  </w:num>
  <w:num w:numId="5">
    <w:abstractNumId w:val="33"/>
  </w:num>
  <w:num w:numId="6">
    <w:abstractNumId w:val="26"/>
  </w:num>
  <w:num w:numId="7">
    <w:abstractNumId w:val="0"/>
  </w:num>
  <w:num w:numId="8">
    <w:abstractNumId w:val="1"/>
  </w:num>
  <w:num w:numId="9">
    <w:abstractNumId w:val="2"/>
  </w:num>
  <w:num w:numId="10">
    <w:abstractNumId w:val="3"/>
  </w:num>
  <w:num w:numId="11">
    <w:abstractNumId w:val="8"/>
  </w:num>
  <w:num w:numId="12">
    <w:abstractNumId w:val="4"/>
  </w:num>
  <w:num w:numId="13">
    <w:abstractNumId w:val="5"/>
  </w:num>
  <w:num w:numId="14">
    <w:abstractNumId w:val="6"/>
  </w:num>
  <w:num w:numId="15">
    <w:abstractNumId w:val="7"/>
  </w:num>
  <w:num w:numId="16">
    <w:abstractNumId w:val="9"/>
  </w:num>
  <w:num w:numId="17">
    <w:abstractNumId w:val="41"/>
  </w:num>
  <w:num w:numId="18">
    <w:abstractNumId w:val="11"/>
  </w:num>
  <w:num w:numId="19">
    <w:abstractNumId w:val="23"/>
  </w:num>
  <w:num w:numId="20">
    <w:abstractNumId w:val="10"/>
  </w:num>
  <w:num w:numId="21">
    <w:abstractNumId w:val="11"/>
  </w:num>
  <w:num w:numId="22">
    <w:abstractNumId w:val="36"/>
  </w:num>
  <w:num w:numId="23">
    <w:abstractNumId w:val="13"/>
  </w:num>
  <w:num w:numId="24">
    <w:abstractNumId w:val="40"/>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31"/>
  </w:num>
  <w:num w:numId="28">
    <w:abstractNumId w:val="15"/>
  </w:num>
  <w:num w:numId="29">
    <w:abstractNumId w:val="12"/>
  </w:num>
  <w:num w:numId="30">
    <w:abstractNumId w:val="42"/>
  </w:num>
  <w:num w:numId="31">
    <w:abstractNumId w:val="25"/>
  </w:num>
  <w:num w:numId="32">
    <w:abstractNumId w:val="17"/>
  </w:num>
  <w:num w:numId="33">
    <w:abstractNumId w:val="20"/>
  </w:num>
  <w:num w:numId="34">
    <w:abstractNumId w:val="24"/>
  </w:num>
  <w:num w:numId="35">
    <w:abstractNumId w:val="29"/>
  </w:num>
  <w:num w:numId="36">
    <w:abstractNumId w:val="18"/>
  </w:num>
  <w:num w:numId="37">
    <w:abstractNumId w:val="21"/>
  </w:num>
  <w:num w:numId="38">
    <w:abstractNumId w:val="16"/>
  </w:num>
  <w:num w:numId="39">
    <w:abstractNumId w:val="32"/>
  </w:num>
  <w:num w:numId="40">
    <w:abstractNumId w:val="37"/>
  </w:num>
  <w:num w:numId="41">
    <w:abstractNumId w:val="34"/>
  </w:num>
  <w:num w:numId="42">
    <w:abstractNumId w:val="14"/>
  </w:num>
  <w:num w:numId="43">
    <w:abstractNumId w:val="19"/>
  </w:num>
  <w:num w:numId="44">
    <w:abstractNumId w:val="38"/>
  </w:num>
  <w:num w:numId="45">
    <w:abstractNumId w:val="39"/>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ExgsQ5wItzfYwWaMoywydaqxVfSpvNKVBEAXJja7eL7/Oosw2EECOKOdZRGrH59vhj7CHpg3/U6nv3OG+Fpphw==" w:salt="oAK4z2vnXLmp2kY+mkcQ7g=="/>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6DB"/>
    <w:rsid w:val="0000028E"/>
    <w:rsid w:val="00002BE5"/>
    <w:rsid w:val="00005A08"/>
    <w:rsid w:val="000060DE"/>
    <w:rsid w:val="00020014"/>
    <w:rsid w:val="00022A6C"/>
    <w:rsid w:val="0002407C"/>
    <w:rsid w:val="00030F90"/>
    <w:rsid w:val="000333B1"/>
    <w:rsid w:val="00035172"/>
    <w:rsid w:val="00035D4E"/>
    <w:rsid w:val="000369BC"/>
    <w:rsid w:val="00064792"/>
    <w:rsid w:val="00090FF9"/>
    <w:rsid w:val="0009113C"/>
    <w:rsid w:val="00093062"/>
    <w:rsid w:val="0009412D"/>
    <w:rsid w:val="000A5651"/>
    <w:rsid w:val="000B1183"/>
    <w:rsid w:val="000B77B2"/>
    <w:rsid w:val="000B7B0C"/>
    <w:rsid w:val="000C766C"/>
    <w:rsid w:val="000D1AE1"/>
    <w:rsid w:val="000D3433"/>
    <w:rsid w:val="000D5F29"/>
    <w:rsid w:val="000E03B4"/>
    <w:rsid w:val="000E0531"/>
    <w:rsid w:val="000E4EAF"/>
    <w:rsid w:val="000E5525"/>
    <w:rsid w:val="000F131D"/>
    <w:rsid w:val="00104824"/>
    <w:rsid w:val="00111881"/>
    <w:rsid w:val="0011279A"/>
    <w:rsid w:val="00136F7C"/>
    <w:rsid w:val="001413B7"/>
    <w:rsid w:val="001423C5"/>
    <w:rsid w:val="00144310"/>
    <w:rsid w:val="001471CA"/>
    <w:rsid w:val="001576AC"/>
    <w:rsid w:val="001611C1"/>
    <w:rsid w:val="001611C5"/>
    <w:rsid w:val="00165940"/>
    <w:rsid w:val="001755D7"/>
    <w:rsid w:val="00180606"/>
    <w:rsid w:val="00180706"/>
    <w:rsid w:val="00180984"/>
    <w:rsid w:val="00181A5C"/>
    <w:rsid w:val="00186655"/>
    <w:rsid w:val="00186855"/>
    <w:rsid w:val="00196782"/>
    <w:rsid w:val="001A259A"/>
    <w:rsid w:val="001A48C6"/>
    <w:rsid w:val="001A48C8"/>
    <w:rsid w:val="001B1F3D"/>
    <w:rsid w:val="001B5E80"/>
    <w:rsid w:val="001C2B3A"/>
    <w:rsid w:val="001C3004"/>
    <w:rsid w:val="001C6F09"/>
    <w:rsid w:val="001D03D8"/>
    <w:rsid w:val="001D2603"/>
    <w:rsid w:val="001E21FF"/>
    <w:rsid w:val="001E390B"/>
    <w:rsid w:val="001E3E80"/>
    <w:rsid w:val="001F5F18"/>
    <w:rsid w:val="002001B3"/>
    <w:rsid w:val="0020152D"/>
    <w:rsid w:val="002053AF"/>
    <w:rsid w:val="0021085C"/>
    <w:rsid w:val="002131EE"/>
    <w:rsid w:val="00220AB3"/>
    <w:rsid w:val="00220ED4"/>
    <w:rsid w:val="002220DD"/>
    <w:rsid w:val="00222AF7"/>
    <w:rsid w:val="00224838"/>
    <w:rsid w:val="00226411"/>
    <w:rsid w:val="002324BB"/>
    <w:rsid w:val="002534CD"/>
    <w:rsid w:val="002543DF"/>
    <w:rsid w:val="002601F1"/>
    <w:rsid w:val="0026338D"/>
    <w:rsid w:val="00267620"/>
    <w:rsid w:val="0027122B"/>
    <w:rsid w:val="002727BF"/>
    <w:rsid w:val="00274B27"/>
    <w:rsid w:val="002806EF"/>
    <w:rsid w:val="0028145A"/>
    <w:rsid w:val="00282B84"/>
    <w:rsid w:val="002837D0"/>
    <w:rsid w:val="00291222"/>
    <w:rsid w:val="002926EE"/>
    <w:rsid w:val="002A0AA3"/>
    <w:rsid w:val="002A67A1"/>
    <w:rsid w:val="002B2772"/>
    <w:rsid w:val="002B71F5"/>
    <w:rsid w:val="002D1A7E"/>
    <w:rsid w:val="002D3E07"/>
    <w:rsid w:val="002E5C83"/>
    <w:rsid w:val="002F1296"/>
    <w:rsid w:val="002F1865"/>
    <w:rsid w:val="002F6FD0"/>
    <w:rsid w:val="00300F83"/>
    <w:rsid w:val="003025A1"/>
    <w:rsid w:val="003065F3"/>
    <w:rsid w:val="00326A8B"/>
    <w:rsid w:val="00326B66"/>
    <w:rsid w:val="00327E38"/>
    <w:rsid w:val="003334BD"/>
    <w:rsid w:val="00342FDF"/>
    <w:rsid w:val="00351F75"/>
    <w:rsid w:val="00355C8A"/>
    <w:rsid w:val="003571E6"/>
    <w:rsid w:val="00357ECD"/>
    <w:rsid w:val="00360740"/>
    <w:rsid w:val="003656FF"/>
    <w:rsid w:val="00367757"/>
    <w:rsid w:val="0037015C"/>
    <w:rsid w:val="00371B99"/>
    <w:rsid w:val="003742A0"/>
    <w:rsid w:val="00380780"/>
    <w:rsid w:val="0038567B"/>
    <w:rsid w:val="003939CA"/>
    <w:rsid w:val="00396045"/>
    <w:rsid w:val="003A5328"/>
    <w:rsid w:val="003B1CDE"/>
    <w:rsid w:val="003B23E8"/>
    <w:rsid w:val="003B2E02"/>
    <w:rsid w:val="003B3A8D"/>
    <w:rsid w:val="003B3E4E"/>
    <w:rsid w:val="003B7D08"/>
    <w:rsid w:val="003C0B27"/>
    <w:rsid w:val="003C1AF6"/>
    <w:rsid w:val="003D4934"/>
    <w:rsid w:val="003D6B92"/>
    <w:rsid w:val="003E28C4"/>
    <w:rsid w:val="003E30A3"/>
    <w:rsid w:val="003F6470"/>
    <w:rsid w:val="003F688A"/>
    <w:rsid w:val="00402E8E"/>
    <w:rsid w:val="00404415"/>
    <w:rsid w:val="00407457"/>
    <w:rsid w:val="004258C7"/>
    <w:rsid w:val="00440364"/>
    <w:rsid w:val="0044051B"/>
    <w:rsid w:val="004468AF"/>
    <w:rsid w:val="00451DEF"/>
    <w:rsid w:val="00455D79"/>
    <w:rsid w:val="00456269"/>
    <w:rsid w:val="0045637A"/>
    <w:rsid w:val="00460919"/>
    <w:rsid w:val="0046159A"/>
    <w:rsid w:val="004637CE"/>
    <w:rsid w:val="00467F7A"/>
    <w:rsid w:val="004715DB"/>
    <w:rsid w:val="0048035E"/>
    <w:rsid w:val="00481B4D"/>
    <w:rsid w:val="00482364"/>
    <w:rsid w:val="00484CF3"/>
    <w:rsid w:val="00484FD5"/>
    <w:rsid w:val="00484FE6"/>
    <w:rsid w:val="00490396"/>
    <w:rsid w:val="00491860"/>
    <w:rsid w:val="004936B2"/>
    <w:rsid w:val="0049395D"/>
    <w:rsid w:val="00495F03"/>
    <w:rsid w:val="004A47F3"/>
    <w:rsid w:val="004A7EDC"/>
    <w:rsid w:val="004B54FF"/>
    <w:rsid w:val="004D3C46"/>
    <w:rsid w:val="004D65EA"/>
    <w:rsid w:val="004D6BBD"/>
    <w:rsid w:val="004F2D1F"/>
    <w:rsid w:val="004F5BDB"/>
    <w:rsid w:val="0050286B"/>
    <w:rsid w:val="005047E7"/>
    <w:rsid w:val="00506907"/>
    <w:rsid w:val="00513285"/>
    <w:rsid w:val="00515101"/>
    <w:rsid w:val="005159AC"/>
    <w:rsid w:val="00522D58"/>
    <w:rsid w:val="005233FF"/>
    <w:rsid w:val="00532AF0"/>
    <w:rsid w:val="00540DA7"/>
    <w:rsid w:val="00542B13"/>
    <w:rsid w:val="00545961"/>
    <w:rsid w:val="00554DED"/>
    <w:rsid w:val="0055690C"/>
    <w:rsid w:val="00561C71"/>
    <w:rsid w:val="00563634"/>
    <w:rsid w:val="00577973"/>
    <w:rsid w:val="00577C7B"/>
    <w:rsid w:val="0058068C"/>
    <w:rsid w:val="00582B9B"/>
    <w:rsid w:val="00582BEA"/>
    <w:rsid w:val="00586FD8"/>
    <w:rsid w:val="00594572"/>
    <w:rsid w:val="0059463A"/>
    <w:rsid w:val="005C035C"/>
    <w:rsid w:val="005C5213"/>
    <w:rsid w:val="005D54AE"/>
    <w:rsid w:val="005E50EB"/>
    <w:rsid w:val="006104D9"/>
    <w:rsid w:val="0061134E"/>
    <w:rsid w:val="0061668C"/>
    <w:rsid w:val="00616E5E"/>
    <w:rsid w:val="00620CC5"/>
    <w:rsid w:val="00624654"/>
    <w:rsid w:val="00626194"/>
    <w:rsid w:val="00627143"/>
    <w:rsid w:val="006276FA"/>
    <w:rsid w:val="00640F2C"/>
    <w:rsid w:val="00646A4C"/>
    <w:rsid w:val="00647C7C"/>
    <w:rsid w:val="0066021B"/>
    <w:rsid w:val="00666313"/>
    <w:rsid w:val="00677E90"/>
    <w:rsid w:val="00690548"/>
    <w:rsid w:val="0069567B"/>
    <w:rsid w:val="006A1401"/>
    <w:rsid w:val="006A2AE1"/>
    <w:rsid w:val="006A4AA3"/>
    <w:rsid w:val="006B15CA"/>
    <w:rsid w:val="006B57B0"/>
    <w:rsid w:val="006C0114"/>
    <w:rsid w:val="006D11B0"/>
    <w:rsid w:val="006D2455"/>
    <w:rsid w:val="006D431D"/>
    <w:rsid w:val="006D601D"/>
    <w:rsid w:val="006D6082"/>
    <w:rsid w:val="006D6C6D"/>
    <w:rsid w:val="006E6AD7"/>
    <w:rsid w:val="006F4E82"/>
    <w:rsid w:val="00701338"/>
    <w:rsid w:val="00703D90"/>
    <w:rsid w:val="0070478A"/>
    <w:rsid w:val="00710193"/>
    <w:rsid w:val="0071274B"/>
    <w:rsid w:val="00723B0C"/>
    <w:rsid w:val="00724C60"/>
    <w:rsid w:val="007346DB"/>
    <w:rsid w:val="00735C61"/>
    <w:rsid w:val="00744865"/>
    <w:rsid w:val="007510FB"/>
    <w:rsid w:val="007537CF"/>
    <w:rsid w:val="00761039"/>
    <w:rsid w:val="0076181E"/>
    <w:rsid w:val="00773B8F"/>
    <w:rsid w:val="0079074A"/>
    <w:rsid w:val="00797C3C"/>
    <w:rsid w:val="007A1682"/>
    <w:rsid w:val="007A505B"/>
    <w:rsid w:val="007B493D"/>
    <w:rsid w:val="007B7304"/>
    <w:rsid w:val="007C0BC5"/>
    <w:rsid w:val="007C0E14"/>
    <w:rsid w:val="007C2E78"/>
    <w:rsid w:val="007D5ABA"/>
    <w:rsid w:val="007D6222"/>
    <w:rsid w:val="007E014D"/>
    <w:rsid w:val="007E0992"/>
    <w:rsid w:val="007F00FE"/>
    <w:rsid w:val="007F32CA"/>
    <w:rsid w:val="007F6286"/>
    <w:rsid w:val="007F781D"/>
    <w:rsid w:val="0080180C"/>
    <w:rsid w:val="0080642B"/>
    <w:rsid w:val="00813D52"/>
    <w:rsid w:val="0082152F"/>
    <w:rsid w:val="008253ED"/>
    <w:rsid w:val="00827DC3"/>
    <w:rsid w:val="0083034C"/>
    <w:rsid w:val="0083107B"/>
    <w:rsid w:val="00834070"/>
    <w:rsid w:val="00835BCB"/>
    <w:rsid w:val="0083749D"/>
    <w:rsid w:val="00840063"/>
    <w:rsid w:val="008406B5"/>
    <w:rsid w:val="00841919"/>
    <w:rsid w:val="008441FB"/>
    <w:rsid w:val="0084498F"/>
    <w:rsid w:val="00850F32"/>
    <w:rsid w:val="00852624"/>
    <w:rsid w:val="00853703"/>
    <w:rsid w:val="00854C12"/>
    <w:rsid w:val="00867CFD"/>
    <w:rsid w:val="008860BB"/>
    <w:rsid w:val="008921D3"/>
    <w:rsid w:val="00894847"/>
    <w:rsid w:val="0089671C"/>
    <w:rsid w:val="00896A0C"/>
    <w:rsid w:val="008B1B7E"/>
    <w:rsid w:val="008C1378"/>
    <w:rsid w:val="008C312D"/>
    <w:rsid w:val="008D11C8"/>
    <w:rsid w:val="008E1D0C"/>
    <w:rsid w:val="008E3294"/>
    <w:rsid w:val="008E46DE"/>
    <w:rsid w:val="008E7CAB"/>
    <w:rsid w:val="008F190B"/>
    <w:rsid w:val="008F1D3A"/>
    <w:rsid w:val="008F3E31"/>
    <w:rsid w:val="008F54B5"/>
    <w:rsid w:val="008F609B"/>
    <w:rsid w:val="0090013A"/>
    <w:rsid w:val="00900ED9"/>
    <w:rsid w:val="00904C65"/>
    <w:rsid w:val="009104D6"/>
    <w:rsid w:val="009129CD"/>
    <w:rsid w:val="009172C1"/>
    <w:rsid w:val="00917531"/>
    <w:rsid w:val="009223BD"/>
    <w:rsid w:val="00935BA2"/>
    <w:rsid w:val="00950E53"/>
    <w:rsid w:val="0095163E"/>
    <w:rsid w:val="00974438"/>
    <w:rsid w:val="00981427"/>
    <w:rsid w:val="00983D31"/>
    <w:rsid w:val="0098659E"/>
    <w:rsid w:val="00990299"/>
    <w:rsid w:val="00996B5C"/>
    <w:rsid w:val="00996C0C"/>
    <w:rsid w:val="0099757A"/>
    <w:rsid w:val="00997CA2"/>
    <w:rsid w:val="009A7644"/>
    <w:rsid w:val="009B03DC"/>
    <w:rsid w:val="009B1C12"/>
    <w:rsid w:val="009D1986"/>
    <w:rsid w:val="009D5862"/>
    <w:rsid w:val="009D7543"/>
    <w:rsid w:val="009E2D13"/>
    <w:rsid w:val="009F0AF6"/>
    <w:rsid w:val="009F11AA"/>
    <w:rsid w:val="009F3774"/>
    <w:rsid w:val="009F71A2"/>
    <w:rsid w:val="00A0239A"/>
    <w:rsid w:val="00A235DD"/>
    <w:rsid w:val="00A25336"/>
    <w:rsid w:val="00A26D94"/>
    <w:rsid w:val="00A30E0C"/>
    <w:rsid w:val="00A366CF"/>
    <w:rsid w:val="00A36B24"/>
    <w:rsid w:val="00A36BB8"/>
    <w:rsid w:val="00A4340F"/>
    <w:rsid w:val="00A65A5F"/>
    <w:rsid w:val="00A70C53"/>
    <w:rsid w:val="00A808A4"/>
    <w:rsid w:val="00A84EEA"/>
    <w:rsid w:val="00A90971"/>
    <w:rsid w:val="00A91380"/>
    <w:rsid w:val="00A93CA2"/>
    <w:rsid w:val="00A94392"/>
    <w:rsid w:val="00AA03E0"/>
    <w:rsid w:val="00AB3454"/>
    <w:rsid w:val="00AC12D9"/>
    <w:rsid w:val="00AC1C00"/>
    <w:rsid w:val="00AD01D4"/>
    <w:rsid w:val="00AD2DF4"/>
    <w:rsid w:val="00AE72A6"/>
    <w:rsid w:val="00AF0190"/>
    <w:rsid w:val="00AF58EC"/>
    <w:rsid w:val="00B00DF0"/>
    <w:rsid w:val="00B0271B"/>
    <w:rsid w:val="00B032A0"/>
    <w:rsid w:val="00B0596D"/>
    <w:rsid w:val="00B127FA"/>
    <w:rsid w:val="00B13F3B"/>
    <w:rsid w:val="00B15189"/>
    <w:rsid w:val="00B15FD1"/>
    <w:rsid w:val="00B17319"/>
    <w:rsid w:val="00B2268B"/>
    <w:rsid w:val="00B2498A"/>
    <w:rsid w:val="00B25FEA"/>
    <w:rsid w:val="00B35042"/>
    <w:rsid w:val="00B35FB3"/>
    <w:rsid w:val="00B42AE2"/>
    <w:rsid w:val="00B449E0"/>
    <w:rsid w:val="00B4715F"/>
    <w:rsid w:val="00B52BD6"/>
    <w:rsid w:val="00B54239"/>
    <w:rsid w:val="00B554DA"/>
    <w:rsid w:val="00B60150"/>
    <w:rsid w:val="00B62693"/>
    <w:rsid w:val="00B8427D"/>
    <w:rsid w:val="00B85B8D"/>
    <w:rsid w:val="00B87823"/>
    <w:rsid w:val="00B90CBF"/>
    <w:rsid w:val="00BA4FB3"/>
    <w:rsid w:val="00BB3B01"/>
    <w:rsid w:val="00BB681F"/>
    <w:rsid w:val="00BC2094"/>
    <w:rsid w:val="00BC36A6"/>
    <w:rsid w:val="00BC374D"/>
    <w:rsid w:val="00BD68E4"/>
    <w:rsid w:val="00BD76E6"/>
    <w:rsid w:val="00BF4860"/>
    <w:rsid w:val="00BF5435"/>
    <w:rsid w:val="00BF5E73"/>
    <w:rsid w:val="00BF7CEC"/>
    <w:rsid w:val="00C00906"/>
    <w:rsid w:val="00C15CE2"/>
    <w:rsid w:val="00C22177"/>
    <w:rsid w:val="00C22E51"/>
    <w:rsid w:val="00C254A3"/>
    <w:rsid w:val="00C27F9B"/>
    <w:rsid w:val="00C32473"/>
    <w:rsid w:val="00C32527"/>
    <w:rsid w:val="00C34E2A"/>
    <w:rsid w:val="00C37C54"/>
    <w:rsid w:val="00C45C1A"/>
    <w:rsid w:val="00C4786C"/>
    <w:rsid w:val="00C729E0"/>
    <w:rsid w:val="00C74D27"/>
    <w:rsid w:val="00C84779"/>
    <w:rsid w:val="00C862AA"/>
    <w:rsid w:val="00C95BD6"/>
    <w:rsid w:val="00C96518"/>
    <w:rsid w:val="00CA67A1"/>
    <w:rsid w:val="00CA6D91"/>
    <w:rsid w:val="00CB009A"/>
    <w:rsid w:val="00CC6232"/>
    <w:rsid w:val="00CD56DC"/>
    <w:rsid w:val="00CE3001"/>
    <w:rsid w:val="00CF0B6B"/>
    <w:rsid w:val="00CF7629"/>
    <w:rsid w:val="00CF7C9B"/>
    <w:rsid w:val="00D00353"/>
    <w:rsid w:val="00D02ED9"/>
    <w:rsid w:val="00D05834"/>
    <w:rsid w:val="00D10150"/>
    <w:rsid w:val="00D150FA"/>
    <w:rsid w:val="00D2738C"/>
    <w:rsid w:val="00D34464"/>
    <w:rsid w:val="00D454BE"/>
    <w:rsid w:val="00D5592B"/>
    <w:rsid w:val="00D56264"/>
    <w:rsid w:val="00D605D5"/>
    <w:rsid w:val="00D6081C"/>
    <w:rsid w:val="00D6464E"/>
    <w:rsid w:val="00D65F09"/>
    <w:rsid w:val="00D67A53"/>
    <w:rsid w:val="00D706ED"/>
    <w:rsid w:val="00D72483"/>
    <w:rsid w:val="00D844A2"/>
    <w:rsid w:val="00D87583"/>
    <w:rsid w:val="00D90373"/>
    <w:rsid w:val="00DA5A23"/>
    <w:rsid w:val="00DB4440"/>
    <w:rsid w:val="00DC015E"/>
    <w:rsid w:val="00DC62CD"/>
    <w:rsid w:val="00DC7FF5"/>
    <w:rsid w:val="00DD1C29"/>
    <w:rsid w:val="00DD45FC"/>
    <w:rsid w:val="00DD7B6B"/>
    <w:rsid w:val="00DE0971"/>
    <w:rsid w:val="00E024B6"/>
    <w:rsid w:val="00E02DC8"/>
    <w:rsid w:val="00E07729"/>
    <w:rsid w:val="00E10764"/>
    <w:rsid w:val="00E2482A"/>
    <w:rsid w:val="00E30775"/>
    <w:rsid w:val="00E31A2B"/>
    <w:rsid w:val="00E31BC3"/>
    <w:rsid w:val="00E354BF"/>
    <w:rsid w:val="00E413A8"/>
    <w:rsid w:val="00E47777"/>
    <w:rsid w:val="00E47D30"/>
    <w:rsid w:val="00E509B0"/>
    <w:rsid w:val="00E5163D"/>
    <w:rsid w:val="00E530F4"/>
    <w:rsid w:val="00E53F41"/>
    <w:rsid w:val="00E57A95"/>
    <w:rsid w:val="00E6234E"/>
    <w:rsid w:val="00E63A19"/>
    <w:rsid w:val="00E70DB1"/>
    <w:rsid w:val="00E722F2"/>
    <w:rsid w:val="00E748B1"/>
    <w:rsid w:val="00E76AF4"/>
    <w:rsid w:val="00E80BAB"/>
    <w:rsid w:val="00E860ED"/>
    <w:rsid w:val="00E9316E"/>
    <w:rsid w:val="00E9548F"/>
    <w:rsid w:val="00E9573E"/>
    <w:rsid w:val="00EA0147"/>
    <w:rsid w:val="00EA2F44"/>
    <w:rsid w:val="00EB34B8"/>
    <w:rsid w:val="00EB5176"/>
    <w:rsid w:val="00EB7628"/>
    <w:rsid w:val="00EC017A"/>
    <w:rsid w:val="00EC2689"/>
    <w:rsid w:val="00ED1258"/>
    <w:rsid w:val="00ED27FA"/>
    <w:rsid w:val="00ED39B2"/>
    <w:rsid w:val="00ED3FB7"/>
    <w:rsid w:val="00ED75C1"/>
    <w:rsid w:val="00EE0471"/>
    <w:rsid w:val="00EE3719"/>
    <w:rsid w:val="00EE7BD4"/>
    <w:rsid w:val="00EF3E06"/>
    <w:rsid w:val="00EF46F7"/>
    <w:rsid w:val="00EF64A4"/>
    <w:rsid w:val="00F03F12"/>
    <w:rsid w:val="00F0431D"/>
    <w:rsid w:val="00F0709E"/>
    <w:rsid w:val="00F129FA"/>
    <w:rsid w:val="00F22E91"/>
    <w:rsid w:val="00F23E22"/>
    <w:rsid w:val="00F30FC0"/>
    <w:rsid w:val="00F377F8"/>
    <w:rsid w:val="00F403F3"/>
    <w:rsid w:val="00F426BF"/>
    <w:rsid w:val="00F42D62"/>
    <w:rsid w:val="00F450E5"/>
    <w:rsid w:val="00F47D2B"/>
    <w:rsid w:val="00F522D3"/>
    <w:rsid w:val="00F52D96"/>
    <w:rsid w:val="00F61F84"/>
    <w:rsid w:val="00F6399E"/>
    <w:rsid w:val="00F67514"/>
    <w:rsid w:val="00F70F56"/>
    <w:rsid w:val="00F72507"/>
    <w:rsid w:val="00F730E5"/>
    <w:rsid w:val="00F73363"/>
    <w:rsid w:val="00F747EA"/>
    <w:rsid w:val="00F7784F"/>
    <w:rsid w:val="00F80BAB"/>
    <w:rsid w:val="00F82F2E"/>
    <w:rsid w:val="00F8558F"/>
    <w:rsid w:val="00F869D3"/>
    <w:rsid w:val="00F90F77"/>
    <w:rsid w:val="00F92683"/>
    <w:rsid w:val="00F94FB1"/>
    <w:rsid w:val="00FA0260"/>
    <w:rsid w:val="00FA557A"/>
    <w:rsid w:val="00FA57D5"/>
    <w:rsid w:val="00FB0714"/>
    <w:rsid w:val="00FB1E3F"/>
    <w:rsid w:val="00FB5BA6"/>
    <w:rsid w:val="00FB7C36"/>
    <w:rsid w:val="00FC5E75"/>
    <w:rsid w:val="00FC6E67"/>
    <w:rsid w:val="00FD2E75"/>
    <w:rsid w:val="00FD52FF"/>
    <w:rsid w:val="00FD5E30"/>
    <w:rsid w:val="00FE3AC5"/>
    <w:rsid w:val="00FE3FB9"/>
    <w:rsid w:val="00FE6791"/>
    <w:rsid w:val="00FE79F4"/>
    <w:rsid w:val="00FF0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4:docId w14:val="4F774A23"/>
  <w15:chartTrackingRefBased/>
  <w15:docId w15:val="{2A2FCBDF-DCA5-904F-8E0D-1093187A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44865"/>
    <w:pPr>
      <w:spacing w:before="60" w:after="160" w:line="247" w:lineRule="auto"/>
    </w:pPr>
    <w:rPr>
      <w:rFonts w:asciiTheme="minorHAnsi" w:eastAsia="Calibri" w:hAnsiTheme="minorHAnsi" w:cstheme="minorHAnsi"/>
      <w:spacing w:val="-3"/>
      <w:sz w:val="22"/>
      <w:szCs w:val="22"/>
    </w:rPr>
  </w:style>
  <w:style w:type="paragraph" w:styleId="Heading1">
    <w:name w:val="heading 1"/>
    <w:basedOn w:val="Heading2"/>
    <w:next w:val="Normal"/>
    <w:link w:val="Heading1Char"/>
    <w:qFormat/>
    <w:rsid w:val="00B554DA"/>
    <w:pPr>
      <w:spacing w:before="200" w:after="200"/>
      <w:contextualSpacing/>
      <w:outlineLvl w:val="0"/>
    </w:pPr>
    <w:rPr>
      <w:sz w:val="24"/>
      <w:szCs w:val="24"/>
    </w:rPr>
  </w:style>
  <w:style w:type="paragraph" w:styleId="Heading2">
    <w:name w:val="heading 2"/>
    <w:basedOn w:val="Normal"/>
    <w:next w:val="Normal"/>
    <w:link w:val="Heading2Char"/>
    <w:unhideWhenUsed/>
    <w:qFormat/>
    <w:rsid w:val="00ED3FB7"/>
    <w:pPr>
      <w:spacing w:after="60"/>
      <w:outlineLvl w:val="1"/>
    </w:pPr>
    <w:rPr>
      <w:b/>
      <w:bCs/>
      <w:u w:val="single"/>
    </w:rPr>
  </w:style>
  <w:style w:type="paragraph" w:styleId="Heading3">
    <w:name w:val="heading 3"/>
    <w:basedOn w:val="Normal"/>
    <w:next w:val="Normal"/>
    <w:link w:val="Heading3Char"/>
    <w:semiHidden/>
    <w:unhideWhenUsed/>
    <w:qFormat/>
    <w:rsid w:val="002248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7346DB"/>
    <w:rPr>
      <w:rFonts w:ascii="Tahoma" w:hAnsi="Tahoma" w:cs="Tahoma"/>
      <w:sz w:val="16"/>
      <w:szCs w:val="16"/>
    </w:rPr>
  </w:style>
  <w:style w:type="character" w:styleId="Hyperlink">
    <w:name w:val="Hyperlink"/>
    <w:rsid w:val="00B127FA"/>
    <w:rPr>
      <w:color w:val="0000FF"/>
      <w:u w:val="single"/>
    </w:rPr>
  </w:style>
  <w:style w:type="paragraph" w:customStyle="1" w:styleId="Default">
    <w:name w:val="Default"/>
    <w:rsid w:val="00326A8B"/>
    <w:pPr>
      <w:autoSpaceDE w:val="0"/>
      <w:autoSpaceDN w:val="0"/>
      <w:adjustRightInd w:val="0"/>
    </w:pPr>
    <w:rPr>
      <w:rFonts w:ascii="Calibri" w:eastAsia="Calibri" w:hAnsi="Calibri" w:cs="Calibri"/>
      <w:color w:val="000000"/>
      <w:sz w:val="24"/>
      <w:szCs w:val="24"/>
    </w:rPr>
  </w:style>
  <w:style w:type="table" w:styleId="TableGrid">
    <w:name w:val="Table Grid"/>
    <w:basedOn w:val="TableNormal"/>
    <w:uiPriority w:val="59"/>
    <w:rsid w:val="003D493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semiHidden/>
    <w:unhideWhenUsed/>
    <w:rsid w:val="00ED39B2"/>
    <w:rPr>
      <w:color w:val="2B579A"/>
      <w:shd w:val="clear" w:color="auto" w:fill="E6E6E6"/>
    </w:rPr>
  </w:style>
  <w:style w:type="character" w:styleId="CommentReference">
    <w:name w:val="annotation reference"/>
    <w:uiPriority w:val="99"/>
    <w:rsid w:val="00B032A0"/>
    <w:rPr>
      <w:sz w:val="16"/>
      <w:szCs w:val="16"/>
    </w:rPr>
  </w:style>
  <w:style w:type="paragraph" w:styleId="CommentText">
    <w:name w:val="annotation text"/>
    <w:basedOn w:val="Normal"/>
    <w:link w:val="CommentTextChar"/>
    <w:uiPriority w:val="99"/>
    <w:rsid w:val="00B032A0"/>
    <w:rPr>
      <w:sz w:val="20"/>
    </w:rPr>
  </w:style>
  <w:style w:type="character" w:customStyle="1" w:styleId="CommentTextChar">
    <w:name w:val="Comment Text Char"/>
    <w:link w:val="CommentText"/>
    <w:uiPriority w:val="99"/>
    <w:rsid w:val="00B032A0"/>
    <w:rPr>
      <w:rFonts w:ascii="Arial" w:hAnsi="Arial"/>
      <w:spacing w:val="-3"/>
    </w:rPr>
  </w:style>
  <w:style w:type="paragraph" w:styleId="CommentSubject">
    <w:name w:val="annotation subject"/>
    <w:basedOn w:val="CommentText"/>
    <w:next w:val="CommentText"/>
    <w:link w:val="CommentSubjectChar"/>
    <w:rsid w:val="00B032A0"/>
    <w:rPr>
      <w:b/>
      <w:bCs/>
    </w:rPr>
  </w:style>
  <w:style w:type="character" w:customStyle="1" w:styleId="CommentSubjectChar">
    <w:name w:val="Comment Subject Char"/>
    <w:link w:val="CommentSubject"/>
    <w:rsid w:val="00B032A0"/>
    <w:rPr>
      <w:rFonts w:ascii="Arial" w:hAnsi="Arial"/>
      <w:b/>
      <w:bCs/>
      <w:spacing w:val="-3"/>
    </w:rPr>
  </w:style>
  <w:style w:type="character" w:customStyle="1" w:styleId="st1">
    <w:name w:val="st1"/>
    <w:rsid w:val="00C74D27"/>
  </w:style>
  <w:style w:type="paragraph" w:styleId="ListParagraph">
    <w:name w:val="List Paragraph"/>
    <w:basedOn w:val="Normal"/>
    <w:uiPriority w:val="34"/>
    <w:qFormat/>
    <w:rsid w:val="007A1682"/>
    <w:pPr>
      <w:ind w:left="720"/>
    </w:pPr>
  </w:style>
  <w:style w:type="paragraph" w:styleId="Revision">
    <w:name w:val="Revision"/>
    <w:hidden/>
    <w:uiPriority w:val="99"/>
    <w:semiHidden/>
    <w:rsid w:val="00EE3719"/>
    <w:rPr>
      <w:rFonts w:ascii="Arial" w:hAnsi="Arial"/>
      <w:spacing w:val="-3"/>
      <w:sz w:val="24"/>
    </w:rPr>
  </w:style>
  <w:style w:type="character" w:customStyle="1" w:styleId="FooterChar">
    <w:name w:val="Footer Char"/>
    <w:link w:val="Footer"/>
    <w:uiPriority w:val="99"/>
    <w:rsid w:val="003B7D08"/>
    <w:rPr>
      <w:rFonts w:ascii="Arial" w:hAnsi="Arial"/>
      <w:spacing w:val="-3"/>
      <w:sz w:val="24"/>
    </w:rPr>
  </w:style>
  <w:style w:type="character" w:customStyle="1" w:styleId="Heading1Char">
    <w:name w:val="Heading 1 Char"/>
    <w:basedOn w:val="DefaultParagraphFont"/>
    <w:link w:val="Heading1"/>
    <w:rsid w:val="00B554DA"/>
    <w:rPr>
      <w:rFonts w:asciiTheme="minorHAnsi" w:eastAsia="Calibri" w:hAnsiTheme="minorHAnsi" w:cstheme="minorHAnsi"/>
      <w:b/>
      <w:bCs/>
      <w:spacing w:val="-3"/>
      <w:sz w:val="24"/>
      <w:szCs w:val="24"/>
      <w:u w:val="single"/>
    </w:rPr>
  </w:style>
  <w:style w:type="character" w:customStyle="1" w:styleId="Heading2Char">
    <w:name w:val="Heading 2 Char"/>
    <w:basedOn w:val="DefaultParagraphFont"/>
    <w:link w:val="Heading2"/>
    <w:rsid w:val="00ED3FB7"/>
    <w:rPr>
      <w:rFonts w:asciiTheme="minorHAnsi" w:eastAsia="Calibri" w:hAnsiTheme="minorHAnsi" w:cstheme="minorHAnsi"/>
      <w:b/>
      <w:bCs/>
      <w:spacing w:val="-3"/>
      <w:sz w:val="22"/>
      <w:szCs w:val="22"/>
      <w:u w:val="single"/>
    </w:rPr>
  </w:style>
  <w:style w:type="paragraph" w:customStyle="1" w:styleId="TableHeader">
    <w:name w:val="Table Header"/>
    <w:basedOn w:val="Normal"/>
    <w:qFormat/>
    <w:rsid w:val="00CD56DC"/>
    <w:pPr>
      <w:jc w:val="center"/>
    </w:pPr>
    <w:rPr>
      <w:b/>
    </w:rPr>
  </w:style>
  <w:style w:type="character" w:styleId="FollowedHyperlink">
    <w:name w:val="FollowedHyperlink"/>
    <w:basedOn w:val="DefaultParagraphFont"/>
    <w:rsid w:val="000B7B0C"/>
    <w:rPr>
      <w:color w:val="954F72" w:themeColor="followedHyperlink"/>
      <w:u w:val="single"/>
    </w:rPr>
  </w:style>
  <w:style w:type="character" w:customStyle="1" w:styleId="il">
    <w:name w:val="il"/>
    <w:basedOn w:val="DefaultParagraphFont"/>
    <w:rsid w:val="009F71A2"/>
  </w:style>
  <w:style w:type="character" w:customStyle="1" w:styleId="spelle">
    <w:name w:val="spelle"/>
    <w:basedOn w:val="DefaultParagraphFont"/>
    <w:rsid w:val="000D3433"/>
  </w:style>
  <w:style w:type="character" w:customStyle="1" w:styleId="FootnoteTextChar">
    <w:name w:val="Footnote Text Char"/>
    <w:basedOn w:val="DefaultParagraphFont"/>
    <w:link w:val="FootnoteText"/>
    <w:uiPriority w:val="99"/>
    <w:semiHidden/>
    <w:rsid w:val="009F11AA"/>
    <w:rPr>
      <w:spacing w:val="-3"/>
      <w:sz w:val="22"/>
    </w:rPr>
  </w:style>
  <w:style w:type="character" w:customStyle="1" w:styleId="UnresolvedMention1">
    <w:name w:val="Unresolved Mention1"/>
    <w:basedOn w:val="DefaultParagraphFont"/>
    <w:uiPriority w:val="99"/>
    <w:semiHidden/>
    <w:unhideWhenUsed/>
    <w:rsid w:val="00F7784F"/>
    <w:rPr>
      <w:color w:val="605E5C"/>
      <w:shd w:val="clear" w:color="auto" w:fill="E1DFDD"/>
    </w:rPr>
  </w:style>
  <w:style w:type="paragraph" w:styleId="Title">
    <w:name w:val="Title"/>
    <w:basedOn w:val="Heading1"/>
    <w:next w:val="Normal"/>
    <w:link w:val="TitleChar"/>
    <w:qFormat/>
    <w:rsid w:val="00744865"/>
    <w:pPr>
      <w:spacing w:after="960"/>
      <w:ind w:left="907" w:right="907"/>
    </w:pPr>
  </w:style>
  <w:style w:type="character" w:customStyle="1" w:styleId="TitleChar">
    <w:name w:val="Title Char"/>
    <w:basedOn w:val="DefaultParagraphFont"/>
    <w:link w:val="Title"/>
    <w:rsid w:val="00744865"/>
    <w:rPr>
      <w:rFonts w:ascii="Arial" w:eastAsia="Calibri" w:hAnsi="Arial"/>
      <w:b/>
      <w:i/>
      <w:spacing w:val="-1"/>
      <w:sz w:val="48"/>
    </w:rPr>
  </w:style>
  <w:style w:type="character" w:customStyle="1" w:styleId="UnresolvedMention2">
    <w:name w:val="Unresolved Mention2"/>
    <w:basedOn w:val="DefaultParagraphFont"/>
    <w:uiPriority w:val="99"/>
    <w:semiHidden/>
    <w:unhideWhenUsed/>
    <w:rsid w:val="006D601D"/>
    <w:rPr>
      <w:color w:val="605E5C"/>
      <w:shd w:val="clear" w:color="auto" w:fill="E1DFDD"/>
    </w:rPr>
  </w:style>
  <w:style w:type="character" w:styleId="Strong">
    <w:name w:val="Strong"/>
    <w:basedOn w:val="DefaultParagraphFont"/>
    <w:qFormat/>
    <w:rsid w:val="00224838"/>
    <w:rPr>
      <w:b/>
      <w:bCs/>
    </w:rPr>
  </w:style>
  <w:style w:type="character" w:customStyle="1" w:styleId="Heading3Char">
    <w:name w:val="Heading 3 Char"/>
    <w:basedOn w:val="DefaultParagraphFont"/>
    <w:link w:val="Heading3"/>
    <w:semiHidden/>
    <w:rsid w:val="00224838"/>
    <w:rPr>
      <w:rFonts w:asciiTheme="majorHAnsi" w:eastAsiaTheme="majorEastAsia" w:hAnsiTheme="majorHAnsi" w:cstheme="majorBidi"/>
      <w:color w:val="1F3763" w:themeColor="accent1" w:themeShade="7F"/>
      <w:spacing w:val="-3"/>
      <w:sz w:val="24"/>
      <w:szCs w:val="24"/>
    </w:rPr>
  </w:style>
  <w:style w:type="character" w:styleId="LineNumber">
    <w:name w:val="line number"/>
    <w:basedOn w:val="DefaultParagraphFont"/>
    <w:rsid w:val="00A36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4961">
      <w:bodyDiv w:val="1"/>
      <w:marLeft w:val="0"/>
      <w:marRight w:val="0"/>
      <w:marTop w:val="0"/>
      <w:marBottom w:val="0"/>
      <w:divBdr>
        <w:top w:val="none" w:sz="0" w:space="0" w:color="auto"/>
        <w:left w:val="none" w:sz="0" w:space="0" w:color="auto"/>
        <w:bottom w:val="none" w:sz="0" w:space="0" w:color="auto"/>
        <w:right w:val="none" w:sz="0" w:space="0" w:color="auto"/>
      </w:divBdr>
    </w:div>
    <w:div w:id="72901525">
      <w:bodyDiv w:val="1"/>
      <w:marLeft w:val="0"/>
      <w:marRight w:val="0"/>
      <w:marTop w:val="0"/>
      <w:marBottom w:val="0"/>
      <w:divBdr>
        <w:top w:val="none" w:sz="0" w:space="0" w:color="auto"/>
        <w:left w:val="none" w:sz="0" w:space="0" w:color="auto"/>
        <w:bottom w:val="none" w:sz="0" w:space="0" w:color="auto"/>
        <w:right w:val="none" w:sz="0" w:space="0" w:color="auto"/>
      </w:divBdr>
    </w:div>
    <w:div w:id="76367943">
      <w:bodyDiv w:val="1"/>
      <w:marLeft w:val="0"/>
      <w:marRight w:val="0"/>
      <w:marTop w:val="0"/>
      <w:marBottom w:val="0"/>
      <w:divBdr>
        <w:top w:val="none" w:sz="0" w:space="0" w:color="auto"/>
        <w:left w:val="none" w:sz="0" w:space="0" w:color="auto"/>
        <w:bottom w:val="none" w:sz="0" w:space="0" w:color="auto"/>
        <w:right w:val="none" w:sz="0" w:space="0" w:color="auto"/>
      </w:divBdr>
    </w:div>
    <w:div w:id="152532494">
      <w:bodyDiv w:val="1"/>
      <w:marLeft w:val="0"/>
      <w:marRight w:val="0"/>
      <w:marTop w:val="0"/>
      <w:marBottom w:val="0"/>
      <w:divBdr>
        <w:top w:val="none" w:sz="0" w:space="0" w:color="auto"/>
        <w:left w:val="none" w:sz="0" w:space="0" w:color="auto"/>
        <w:bottom w:val="none" w:sz="0" w:space="0" w:color="auto"/>
        <w:right w:val="none" w:sz="0" w:space="0" w:color="auto"/>
      </w:divBdr>
    </w:div>
    <w:div w:id="169679363">
      <w:bodyDiv w:val="1"/>
      <w:marLeft w:val="0"/>
      <w:marRight w:val="0"/>
      <w:marTop w:val="0"/>
      <w:marBottom w:val="0"/>
      <w:divBdr>
        <w:top w:val="none" w:sz="0" w:space="0" w:color="auto"/>
        <w:left w:val="none" w:sz="0" w:space="0" w:color="auto"/>
        <w:bottom w:val="none" w:sz="0" w:space="0" w:color="auto"/>
        <w:right w:val="none" w:sz="0" w:space="0" w:color="auto"/>
      </w:divBdr>
    </w:div>
    <w:div w:id="214587316">
      <w:bodyDiv w:val="1"/>
      <w:marLeft w:val="0"/>
      <w:marRight w:val="0"/>
      <w:marTop w:val="0"/>
      <w:marBottom w:val="0"/>
      <w:divBdr>
        <w:top w:val="none" w:sz="0" w:space="0" w:color="auto"/>
        <w:left w:val="none" w:sz="0" w:space="0" w:color="auto"/>
        <w:bottom w:val="none" w:sz="0" w:space="0" w:color="auto"/>
        <w:right w:val="none" w:sz="0" w:space="0" w:color="auto"/>
      </w:divBdr>
    </w:div>
    <w:div w:id="248852603">
      <w:bodyDiv w:val="1"/>
      <w:marLeft w:val="0"/>
      <w:marRight w:val="0"/>
      <w:marTop w:val="0"/>
      <w:marBottom w:val="0"/>
      <w:divBdr>
        <w:top w:val="none" w:sz="0" w:space="0" w:color="auto"/>
        <w:left w:val="none" w:sz="0" w:space="0" w:color="auto"/>
        <w:bottom w:val="none" w:sz="0" w:space="0" w:color="auto"/>
        <w:right w:val="none" w:sz="0" w:space="0" w:color="auto"/>
      </w:divBdr>
    </w:div>
    <w:div w:id="306208028">
      <w:bodyDiv w:val="1"/>
      <w:marLeft w:val="0"/>
      <w:marRight w:val="0"/>
      <w:marTop w:val="0"/>
      <w:marBottom w:val="0"/>
      <w:divBdr>
        <w:top w:val="none" w:sz="0" w:space="0" w:color="auto"/>
        <w:left w:val="none" w:sz="0" w:space="0" w:color="auto"/>
        <w:bottom w:val="none" w:sz="0" w:space="0" w:color="auto"/>
        <w:right w:val="none" w:sz="0" w:space="0" w:color="auto"/>
      </w:divBdr>
    </w:div>
    <w:div w:id="358431628">
      <w:bodyDiv w:val="1"/>
      <w:marLeft w:val="0"/>
      <w:marRight w:val="0"/>
      <w:marTop w:val="0"/>
      <w:marBottom w:val="0"/>
      <w:divBdr>
        <w:top w:val="none" w:sz="0" w:space="0" w:color="auto"/>
        <w:left w:val="none" w:sz="0" w:space="0" w:color="auto"/>
        <w:bottom w:val="none" w:sz="0" w:space="0" w:color="auto"/>
        <w:right w:val="none" w:sz="0" w:space="0" w:color="auto"/>
      </w:divBdr>
    </w:div>
    <w:div w:id="494999365">
      <w:bodyDiv w:val="1"/>
      <w:marLeft w:val="0"/>
      <w:marRight w:val="0"/>
      <w:marTop w:val="0"/>
      <w:marBottom w:val="0"/>
      <w:divBdr>
        <w:top w:val="none" w:sz="0" w:space="0" w:color="auto"/>
        <w:left w:val="none" w:sz="0" w:space="0" w:color="auto"/>
        <w:bottom w:val="none" w:sz="0" w:space="0" w:color="auto"/>
        <w:right w:val="none" w:sz="0" w:space="0" w:color="auto"/>
      </w:divBdr>
    </w:div>
    <w:div w:id="553584676">
      <w:bodyDiv w:val="1"/>
      <w:marLeft w:val="0"/>
      <w:marRight w:val="0"/>
      <w:marTop w:val="0"/>
      <w:marBottom w:val="0"/>
      <w:divBdr>
        <w:top w:val="none" w:sz="0" w:space="0" w:color="auto"/>
        <w:left w:val="none" w:sz="0" w:space="0" w:color="auto"/>
        <w:bottom w:val="none" w:sz="0" w:space="0" w:color="auto"/>
        <w:right w:val="none" w:sz="0" w:space="0" w:color="auto"/>
      </w:divBdr>
    </w:div>
    <w:div w:id="658652043">
      <w:bodyDiv w:val="1"/>
      <w:marLeft w:val="0"/>
      <w:marRight w:val="0"/>
      <w:marTop w:val="0"/>
      <w:marBottom w:val="0"/>
      <w:divBdr>
        <w:top w:val="none" w:sz="0" w:space="0" w:color="auto"/>
        <w:left w:val="none" w:sz="0" w:space="0" w:color="auto"/>
        <w:bottom w:val="none" w:sz="0" w:space="0" w:color="auto"/>
        <w:right w:val="none" w:sz="0" w:space="0" w:color="auto"/>
      </w:divBdr>
    </w:div>
    <w:div w:id="678001300">
      <w:bodyDiv w:val="1"/>
      <w:marLeft w:val="0"/>
      <w:marRight w:val="0"/>
      <w:marTop w:val="0"/>
      <w:marBottom w:val="0"/>
      <w:divBdr>
        <w:top w:val="none" w:sz="0" w:space="0" w:color="auto"/>
        <w:left w:val="none" w:sz="0" w:space="0" w:color="auto"/>
        <w:bottom w:val="none" w:sz="0" w:space="0" w:color="auto"/>
        <w:right w:val="none" w:sz="0" w:space="0" w:color="auto"/>
      </w:divBdr>
    </w:div>
    <w:div w:id="716274180">
      <w:bodyDiv w:val="1"/>
      <w:marLeft w:val="0"/>
      <w:marRight w:val="0"/>
      <w:marTop w:val="0"/>
      <w:marBottom w:val="0"/>
      <w:divBdr>
        <w:top w:val="none" w:sz="0" w:space="0" w:color="auto"/>
        <w:left w:val="none" w:sz="0" w:space="0" w:color="auto"/>
        <w:bottom w:val="none" w:sz="0" w:space="0" w:color="auto"/>
        <w:right w:val="none" w:sz="0" w:space="0" w:color="auto"/>
      </w:divBdr>
    </w:div>
    <w:div w:id="732512123">
      <w:bodyDiv w:val="1"/>
      <w:marLeft w:val="0"/>
      <w:marRight w:val="0"/>
      <w:marTop w:val="0"/>
      <w:marBottom w:val="0"/>
      <w:divBdr>
        <w:top w:val="none" w:sz="0" w:space="0" w:color="auto"/>
        <w:left w:val="none" w:sz="0" w:space="0" w:color="auto"/>
        <w:bottom w:val="none" w:sz="0" w:space="0" w:color="auto"/>
        <w:right w:val="none" w:sz="0" w:space="0" w:color="auto"/>
      </w:divBdr>
    </w:div>
    <w:div w:id="764569551">
      <w:bodyDiv w:val="1"/>
      <w:marLeft w:val="0"/>
      <w:marRight w:val="0"/>
      <w:marTop w:val="0"/>
      <w:marBottom w:val="0"/>
      <w:divBdr>
        <w:top w:val="none" w:sz="0" w:space="0" w:color="auto"/>
        <w:left w:val="none" w:sz="0" w:space="0" w:color="auto"/>
        <w:bottom w:val="none" w:sz="0" w:space="0" w:color="auto"/>
        <w:right w:val="none" w:sz="0" w:space="0" w:color="auto"/>
      </w:divBdr>
    </w:div>
    <w:div w:id="812143941">
      <w:bodyDiv w:val="1"/>
      <w:marLeft w:val="0"/>
      <w:marRight w:val="0"/>
      <w:marTop w:val="0"/>
      <w:marBottom w:val="0"/>
      <w:divBdr>
        <w:top w:val="none" w:sz="0" w:space="0" w:color="auto"/>
        <w:left w:val="none" w:sz="0" w:space="0" w:color="auto"/>
        <w:bottom w:val="none" w:sz="0" w:space="0" w:color="auto"/>
        <w:right w:val="none" w:sz="0" w:space="0" w:color="auto"/>
      </w:divBdr>
    </w:div>
    <w:div w:id="860585771">
      <w:bodyDiv w:val="1"/>
      <w:marLeft w:val="0"/>
      <w:marRight w:val="0"/>
      <w:marTop w:val="0"/>
      <w:marBottom w:val="0"/>
      <w:divBdr>
        <w:top w:val="none" w:sz="0" w:space="0" w:color="auto"/>
        <w:left w:val="none" w:sz="0" w:space="0" w:color="auto"/>
        <w:bottom w:val="none" w:sz="0" w:space="0" w:color="auto"/>
        <w:right w:val="none" w:sz="0" w:space="0" w:color="auto"/>
      </w:divBdr>
    </w:div>
    <w:div w:id="869682966">
      <w:bodyDiv w:val="1"/>
      <w:marLeft w:val="0"/>
      <w:marRight w:val="0"/>
      <w:marTop w:val="0"/>
      <w:marBottom w:val="0"/>
      <w:divBdr>
        <w:top w:val="none" w:sz="0" w:space="0" w:color="auto"/>
        <w:left w:val="none" w:sz="0" w:space="0" w:color="auto"/>
        <w:bottom w:val="none" w:sz="0" w:space="0" w:color="auto"/>
        <w:right w:val="none" w:sz="0" w:space="0" w:color="auto"/>
      </w:divBdr>
    </w:div>
    <w:div w:id="918056067">
      <w:bodyDiv w:val="1"/>
      <w:marLeft w:val="0"/>
      <w:marRight w:val="0"/>
      <w:marTop w:val="0"/>
      <w:marBottom w:val="0"/>
      <w:divBdr>
        <w:top w:val="none" w:sz="0" w:space="0" w:color="auto"/>
        <w:left w:val="none" w:sz="0" w:space="0" w:color="auto"/>
        <w:bottom w:val="none" w:sz="0" w:space="0" w:color="auto"/>
        <w:right w:val="none" w:sz="0" w:space="0" w:color="auto"/>
      </w:divBdr>
    </w:div>
    <w:div w:id="994451740">
      <w:bodyDiv w:val="1"/>
      <w:marLeft w:val="0"/>
      <w:marRight w:val="0"/>
      <w:marTop w:val="0"/>
      <w:marBottom w:val="0"/>
      <w:divBdr>
        <w:top w:val="none" w:sz="0" w:space="0" w:color="auto"/>
        <w:left w:val="none" w:sz="0" w:space="0" w:color="auto"/>
        <w:bottom w:val="none" w:sz="0" w:space="0" w:color="auto"/>
        <w:right w:val="none" w:sz="0" w:space="0" w:color="auto"/>
      </w:divBdr>
    </w:div>
    <w:div w:id="1067919061">
      <w:bodyDiv w:val="1"/>
      <w:marLeft w:val="0"/>
      <w:marRight w:val="0"/>
      <w:marTop w:val="0"/>
      <w:marBottom w:val="0"/>
      <w:divBdr>
        <w:top w:val="none" w:sz="0" w:space="0" w:color="auto"/>
        <w:left w:val="none" w:sz="0" w:space="0" w:color="auto"/>
        <w:bottom w:val="none" w:sz="0" w:space="0" w:color="auto"/>
        <w:right w:val="none" w:sz="0" w:space="0" w:color="auto"/>
      </w:divBdr>
    </w:div>
    <w:div w:id="1172380253">
      <w:bodyDiv w:val="1"/>
      <w:marLeft w:val="0"/>
      <w:marRight w:val="0"/>
      <w:marTop w:val="0"/>
      <w:marBottom w:val="0"/>
      <w:divBdr>
        <w:top w:val="none" w:sz="0" w:space="0" w:color="auto"/>
        <w:left w:val="none" w:sz="0" w:space="0" w:color="auto"/>
        <w:bottom w:val="none" w:sz="0" w:space="0" w:color="auto"/>
        <w:right w:val="none" w:sz="0" w:space="0" w:color="auto"/>
      </w:divBdr>
    </w:div>
    <w:div w:id="1187063410">
      <w:bodyDiv w:val="1"/>
      <w:marLeft w:val="0"/>
      <w:marRight w:val="0"/>
      <w:marTop w:val="0"/>
      <w:marBottom w:val="0"/>
      <w:divBdr>
        <w:top w:val="none" w:sz="0" w:space="0" w:color="auto"/>
        <w:left w:val="none" w:sz="0" w:space="0" w:color="auto"/>
        <w:bottom w:val="none" w:sz="0" w:space="0" w:color="auto"/>
        <w:right w:val="none" w:sz="0" w:space="0" w:color="auto"/>
      </w:divBdr>
    </w:div>
    <w:div w:id="1214199073">
      <w:bodyDiv w:val="1"/>
      <w:marLeft w:val="0"/>
      <w:marRight w:val="0"/>
      <w:marTop w:val="0"/>
      <w:marBottom w:val="0"/>
      <w:divBdr>
        <w:top w:val="none" w:sz="0" w:space="0" w:color="auto"/>
        <w:left w:val="none" w:sz="0" w:space="0" w:color="auto"/>
        <w:bottom w:val="none" w:sz="0" w:space="0" w:color="auto"/>
        <w:right w:val="none" w:sz="0" w:space="0" w:color="auto"/>
      </w:divBdr>
    </w:div>
    <w:div w:id="1216700535">
      <w:bodyDiv w:val="1"/>
      <w:marLeft w:val="0"/>
      <w:marRight w:val="0"/>
      <w:marTop w:val="0"/>
      <w:marBottom w:val="0"/>
      <w:divBdr>
        <w:top w:val="none" w:sz="0" w:space="0" w:color="auto"/>
        <w:left w:val="none" w:sz="0" w:space="0" w:color="auto"/>
        <w:bottom w:val="none" w:sz="0" w:space="0" w:color="auto"/>
        <w:right w:val="none" w:sz="0" w:space="0" w:color="auto"/>
      </w:divBdr>
    </w:div>
    <w:div w:id="1291400296">
      <w:bodyDiv w:val="1"/>
      <w:marLeft w:val="0"/>
      <w:marRight w:val="0"/>
      <w:marTop w:val="0"/>
      <w:marBottom w:val="0"/>
      <w:divBdr>
        <w:top w:val="none" w:sz="0" w:space="0" w:color="auto"/>
        <w:left w:val="none" w:sz="0" w:space="0" w:color="auto"/>
        <w:bottom w:val="none" w:sz="0" w:space="0" w:color="auto"/>
        <w:right w:val="none" w:sz="0" w:space="0" w:color="auto"/>
      </w:divBdr>
    </w:div>
    <w:div w:id="1317487973">
      <w:bodyDiv w:val="1"/>
      <w:marLeft w:val="0"/>
      <w:marRight w:val="0"/>
      <w:marTop w:val="0"/>
      <w:marBottom w:val="0"/>
      <w:divBdr>
        <w:top w:val="none" w:sz="0" w:space="0" w:color="auto"/>
        <w:left w:val="none" w:sz="0" w:space="0" w:color="auto"/>
        <w:bottom w:val="none" w:sz="0" w:space="0" w:color="auto"/>
        <w:right w:val="none" w:sz="0" w:space="0" w:color="auto"/>
      </w:divBdr>
    </w:div>
    <w:div w:id="1337729074">
      <w:bodyDiv w:val="1"/>
      <w:marLeft w:val="0"/>
      <w:marRight w:val="0"/>
      <w:marTop w:val="0"/>
      <w:marBottom w:val="0"/>
      <w:divBdr>
        <w:top w:val="none" w:sz="0" w:space="0" w:color="auto"/>
        <w:left w:val="none" w:sz="0" w:space="0" w:color="auto"/>
        <w:bottom w:val="none" w:sz="0" w:space="0" w:color="auto"/>
        <w:right w:val="none" w:sz="0" w:space="0" w:color="auto"/>
      </w:divBdr>
    </w:div>
    <w:div w:id="1346401069">
      <w:bodyDiv w:val="1"/>
      <w:marLeft w:val="0"/>
      <w:marRight w:val="0"/>
      <w:marTop w:val="0"/>
      <w:marBottom w:val="0"/>
      <w:divBdr>
        <w:top w:val="none" w:sz="0" w:space="0" w:color="auto"/>
        <w:left w:val="none" w:sz="0" w:space="0" w:color="auto"/>
        <w:bottom w:val="none" w:sz="0" w:space="0" w:color="auto"/>
        <w:right w:val="none" w:sz="0" w:space="0" w:color="auto"/>
      </w:divBdr>
    </w:div>
    <w:div w:id="1399130660">
      <w:bodyDiv w:val="1"/>
      <w:marLeft w:val="0"/>
      <w:marRight w:val="0"/>
      <w:marTop w:val="0"/>
      <w:marBottom w:val="0"/>
      <w:divBdr>
        <w:top w:val="none" w:sz="0" w:space="0" w:color="auto"/>
        <w:left w:val="none" w:sz="0" w:space="0" w:color="auto"/>
        <w:bottom w:val="none" w:sz="0" w:space="0" w:color="auto"/>
        <w:right w:val="none" w:sz="0" w:space="0" w:color="auto"/>
      </w:divBdr>
    </w:div>
    <w:div w:id="1400901877">
      <w:bodyDiv w:val="1"/>
      <w:marLeft w:val="0"/>
      <w:marRight w:val="0"/>
      <w:marTop w:val="0"/>
      <w:marBottom w:val="0"/>
      <w:divBdr>
        <w:top w:val="none" w:sz="0" w:space="0" w:color="auto"/>
        <w:left w:val="none" w:sz="0" w:space="0" w:color="auto"/>
        <w:bottom w:val="none" w:sz="0" w:space="0" w:color="auto"/>
        <w:right w:val="none" w:sz="0" w:space="0" w:color="auto"/>
      </w:divBdr>
    </w:div>
    <w:div w:id="1420297653">
      <w:bodyDiv w:val="1"/>
      <w:marLeft w:val="0"/>
      <w:marRight w:val="0"/>
      <w:marTop w:val="0"/>
      <w:marBottom w:val="0"/>
      <w:divBdr>
        <w:top w:val="none" w:sz="0" w:space="0" w:color="auto"/>
        <w:left w:val="none" w:sz="0" w:space="0" w:color="auto"/>
        <w:bottom w:val="none" w:sz="0" w:space="0" w:color="auto"/>
        <w:right w:val="none" w:sz="0" w:space="0" w:color="auto"/>
      </w:divBdr>
    </w:div>
    <w:div w:id="1470201428">
      <w:bodyDiv w:val="1"/>
      <w:marLeft w:val="0"/>
      <w:marRight w:val="0"/>
      <w:marTop w:val="0"/>
      <w:marBottom w:val="0"/>
      <w:divBdr>
        <w:top w:val="none" w:sz="0" w:space="0" w:color="auto"/>
        <w:left w:val="none" w:sz="0" w:space="0" w:color="auto"/>
        <w:bottom w:val="none" w:sz="0" w:space="0" w:color="auto"/>
        <w:right w:val="none" w:sz="0" w:space="0" w:color="auto"/>
      </w:divBdr>
    </w:div>
    <w:div w:id="1509828915">
      <w:bodyDiv w:val="1"/>
      <w:marLeft w:val="0"/>
      <w:marRight w:val="0"/>
      <w:marTop w:val="0"/>
      <w:marBottom w:val="0"/>
      <w:divBdr>
        <w:top w:val="none" w:sz="0" w:space="0" w:color="auto"/>
        <w:left w:val="none" w:sz="0" w:space="0" w:color="auto"/>
        <w:bottom w:val="none" w:sz="0" w:space="0" w:color="auto"/>
        <w:right w:val="none" w:sz="0" w:space="0" w:color="auto"/>
      </w:divBdr>
    </w:div>
    <w:div w:id="1537965583">
      <w:bodyDiv w:val="1"/>
      <w:marLeft w:val="0"/>
      <w:marRight w:val="0"/>
      <w:marTop w:val="0"/>
      <w:marBottom w:val="0"/>
      <w:divBdr>
        <w:top w:val="none" w:sz="0" w:space="0" w:color="auto"/>
        <w:left w:val="none" w:sz="0" w:space="0" w:color="auto"/>
        <w:bottom w:val="none" w:sz="0" w:space="0" w:color="auto"/>
        <w:right w:val="none" w:sz="0" w:space="0" w:color="auto"/>
      </w:divBdr>
    </w:div>
    <w:div w:id="1672025840">
      <w:bodyDiv w:val="1"/>
      <w:marLeft w:val="0"/>
      <w:marRight w:val="0"/>
      <w:marTop w:val="0"/>
      <w:marBottom w:val="0"/>
      <w:divBdr>
        <w:top w:val="none" w:sz="0" w:space="0" w:color="auto"/>
        <w:left w:val="none" w:sz="0" w:space="0" w:color="auto"/>
        <w:bottom w:val="none" w:sz="0" w:space="0" w:color="auto"/>
        <w:right w:val="none" w:sz="0" w:space="0" w:color="auto"/>
      </w:divBdr>
    </w:div>
    <w:div w:id="1703824305">
      <w:bodyDiv w:val="1"/>
      <w:marLeft w:val="0"/>
      <w:marRight w:val="0"/>
      <w:marTop w:val="0"/>
      <w:marBottom w:val="0"/>
      <w:divBdr>
        <w:top w:val="none" w:sz="0" w:space="0" w:color="auto"/>
        <w:left w:val="none" w:sz="0" w:space="0" w:color="auto"/>
        <w:bottom w:val="none" w:sz="0" w:space="0" w:color="auto"/>
        <w:right w:val="none" w:sz="0" w:space="0" w:color="auto"/>
      </w:divBdr>
    </w:div>
    <w:div w:id="1719744711">
      <w:bodyDiv w:val="1"/>
      <w:marLeft w:val="0"/>
      <w:marRight w:val="0"/>
      <w:marTop w:val="0"/>
      <w:marBottom w:val="0"/>
      <w:divBdr>
        <w:top w:val="none" w:sz="0" w:space="0" w:color="auto"/>
        <w:left w:val="none" w:sz="0" w:space="0" w:color="auto"/>
        <w:bottom w:val="none" w:sz="0" w:space="0" w:color="auto"/>
        <w:right w:val="none" w:sz="0" w:space="0" w:color="auto"/>
      </w:divBdr>
    </w:div>
    <w:div w:id="1788507506">
      <w:bodyDiv w:val="1"/>
      <w:marLeft w:val="0"/>
      <w:marRight w:val="0"/>
      <w:marTop w:val="0"/>
      <w:marBottom w:val="0"/>
      <w:divBdr>
        <w:top w:val="none" w:sz="0" w:space="0" w:color="auto"/>
        <w:left w:val="none" w:sz="0" w:space="0" w:color="auto"/>
        <w:bottom w:val="none" w:sz="0" w:space="0" w:color="auto"/>
        <w:right w:val="none" w:sz="0" w:space="0" w:color="auto"/>
      </w:divBdr>
    </w:div>
    <w:div w:id="1932660423">
      <w:bodyDiv w:val="1"/>
      <w:marLeft w:val="0"/>
      <w:marRight w:val="0"/>
      <w:marTop w:val="0"/>
      <w:marBottom w:val="0"/>
      <w:divBdr>
        <w:top w:val="none" w:sz="0" w:space="0" w:color="auto"/>
        <w:left w:val="none" w:sz="0" w:space="0" w:color="auto"/>
        <w:bottom w:val="none" w:sz="0" w:space="0" w:color="auto"/>
        <w:right w:val="none" w:sz="0" w:space="0" w:color="auto"/>
      </w:divBdr>
    </w:div>
    <w:div w:id="1969772735">
      <w:bodyDiv w:val="1"/>
      <w:marLeft w:val="0"/>
      <w:marRight w:val="0"/>
      <w:marTop w:val="0"/>
      <w:marBottom w:val="0"/>
      <w:divBdr>
        <w:top w:val="none" w:sz="0" w:space="0" w:color="auto"/>
        <w:left w:val="none" w:sz="0" w:space="0" w:color="auto"/>
        <w:bottom w:val="none" w:sz="0" w:space="0" w:color="auto"/>
        <w:right w:val="none" w:sz="0" w:space="0" w:color="auto"/>
      </w:divBdr>
    </w:div>
    <w:div w:id="2073960079">
      <w:bodyDiv w:val="1"/>
      <w:marLeft w:val="0"/>
      <w:marRight w:val="0"/>
      <w:marTop w:val="0"/>
      <w:marBottom w:val="0"/>
      <w:divBdr>
        <w:top w:val="none" w:sz="0" w:space="0" w:color="auto"/>
        <w:left w:val="none" w:sz="0" w:space="0" w:color="auto"/>
        <w:bottom w:val="none" w:sz="0" w:space="0" w:color="auto"/>
        <w:right w:val="none" w:sz="0" w:space="0" w:color="auto"/>
      </w:divBdr>
    </w:div>
    <w:div w:id="2107648040">
      <w:bodyDiv w:val="1"/>
      <w:marLeft w:val="0"/>
      <w:marRight w:val="0"/>
      <w:marTop w:val="0"/>
      <w:marBottom w:val="0"/>
      <w:divBdr>
        <w:top w:val="none" w:sz="0" w:space="0" w:color="auto"/>
        <w:left w:val="none" w:sz="0" w:space="0" w:color="auto"/>
        <w:bottom w:val="none" w:sz="0" w:space="0" w:color="auto"/>
        <w:right w:val="none" w:sz="0" w:space="0" w:color="auto"/>
      </w:divBdr>
    </w:div>
    <w:div w:id="2119251286">
      <w:bodyDiv w:val="1"/>
      <w:marLeft w:val="0"/>
      <w:marRight w:val="0"/>
      <w:marTop w:val="0"/>
      <w:marBottom w:val="0"/>
      <w:divBdr>
        <w:top w:val="none" w:sz="0" w:space="0" w:color="auto"/>
        <w:left w:val="none" w:sz="0" w:space="0" w:color="auto"/>
        <w:bottom w:val="none" w:sz="0" w:space="0" w:color="auto"/>
        <w:right w:val="none" w:sz="0" w:space="0" w:color="auto"/>
      </w:divBdr>
    </w:div>
    <w:div w:id="213648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bof.fire.ca.gov/board-committees/effectiveness-monitoring-committee/" TargetMode="External"/><Relationship Id="rId26" Type="http://schemas.openxmlformats.org/officeDocument/2006/relationships/hyperlink" Target="https://doi.org/10.1002/hyp.13889" TargetMode="External"/><Relationship Id="rId3" Type="http://schemas.openxmlformats.org/officeDocument/2006/relationships/customXml" Target="../customXml/item3.xml"/><Relationship Id="rId21" Type="http://schemas.openxmlformats.org/officeDocument/2006/relationships/hyperlink" Target="https://gcc02.safelinks.protection.outlook.com/?url=https%3A%2F%2Fwww.youtube.com%2Fwatch%3Fv%3DMakVum6U_vE%26list%3DPL-u4XN2GJZIgtKEmz0WxPWpwfUtchxvV_%26index%3D3&amp;data=04%7C01%7CPete.Cafferata%40fire.ca.gov%7C802cd95710d64dbda45208d90383f1ef%7C447a4ca05405454dad68c98a520261f8%7C1%7C0%7C637544687501304283%7CUnknown%7CTWFpbGZsb3d8eyJWIjoiMC4wLjAwMDAiLCJQIjoiV2luMzIiLCJBTiI6Ik1haWwiLCJXVCI6Mn0%3D%7C1000&amp;sdata=2RQj8sMDGwjjR8LO0U0puVeSO9z9Rzivd8lHSEIMJeE%3D&amp;reserved=0"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tiff"/><Relationship Id="rId25" Type="http://schemas.openxmlformats.org/officeDocument/2006/relationships/hyperlink" Target="https://bof.fire.ca.gov/media/9332/emc-2017-001-uc-davis-nutrient-study-progress-report_ada.pdf"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youtube.com/watch?v=yI199ixy_SI&amp;list=PLvPofWzmi8889iiaMSPtzUD0VLqxyo-fz&amp;index=29"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gcc02.safelinks.protection.outlook.com/?url=https%3A%2F%2Fwww.youtube.com%2Fwatch%3Fv%3DMakVum6U_vE%26list%3DPL-u4XN2GJZIgtKEmz0WxPWpwfUtchxvV_%26index%3D3&amp;data=04%7C01%7CPete.Cafferata%40fire.ca.gov%7C802cd95710d64dbda45208d90383f1ef%7C447a4ca05405454dad68c98a520261f8%7C1%7C0%7C637544687501304283%7CUnknown%7CTWFpbGZsb3d8eyJWIjoiMC4wLjAwMDAiLCJQIjoiV2luMzIiLCJBTiI6Ik1haWwiLCJXVCI6Mn0%3D%7C1000&amp;sdata=2RQj8sMDGwjjR8LO0U0puVeSO9z9Rzivd8lHSEIMJeE%3D&amp;reserved=0"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bof.fire.ca.gov/media/5uie1e1g/bladonsegura_emcupdate_2021-07-21.mp4"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bof.fire.ca.gov/board-committees/effectiveness-monitoring-committe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usgs.gov/core-science-systems/ngp/tnm-delivery/gis-data-download" TargetMode="External"/><Relationship Id="rId27" Type="http://schemas.openxmlformats.org/officeDocument/2006/relationships/header" Target="header4.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leginfo.legislature.ca.gov/faces/billNavClient.xhtml?bill_id=201120120AB1492" TargetMode="External"/><Relationship Id="rId1" Type="http://schemas.openxmlformats.org/officeDocument/2006/relationships/hyperlink" Target="https://leginfo.legislature.ca.gov/faces/billNavClient.xhtml?bill_id=201120120AB14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ETTERW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F2AFED8F22744DB5B981ACBE668D56" ma:contentTypeVersion="19" ma:contentTypeDescription="Create a new document." ma:contentTypeScope="" ma:versionID="baafbb98e4a52a04444ab32fb78bf8d0">
  <xsd:schema xmlns:xsd="http://www.w3.org/2001/XMLSchema" xmlns:xs="http://www.w3.org/2001/XMLSchema" xmlns:p="http://schemas.microsoft.com/office/2006/metadata/properties" xmlns:ns1="http://schemas.microsoft.com/sharepoint/v3" xmlns:ns2="1440143e-7e2d-49b9-930b-84e9c4a1a722" xmlns:ns3="6cb4db18-9012-4923-b77b-5181de988532" targetNamespace="http://schemas.microsoft.com/office/2006/metadata/properties" ma:root="true" ma:fieldsID="13bc03fe7cc1947ee5f8cc53e360c0f2" ns1:_="" ns2:_="" ns3:_="">
    <xsd:import namespace="http://schemas.microsoft.com/sharepoint/v3"/>
    <xsd:import namespace="1440143e-7e2d-49b9-930b-84e9c4a1a722"/>
    <xsd:import namespace="6cb4db18-9012-4923-b77b-5181de9885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dlc_Exempt" minOccurs="0"/>
                <xsd:element ref="ns1:_dlc_ExpireDateSaved" minOccurs="0"/>
                <xsd:element ref="ns1:_dlc_ExpireDate" minOccurs="0"/>
                <xsd:element ref="ns2:MediaServiceAutoTags"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0143e-7e2d-49b9-930b-84e9c4a1a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b4db18-9012-4923-b77b-5181de9885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Delete after 5 days</p:Description>
  <p:Statement>This policy will delete all files 5 days after they are posted</p:Statement>
  <p:PolicyItems>
    <p:PolicyItem featureId="Microsoft.Office.RecordsManagement.PolicyFeatures.Expiration" staticId="0x01010073F2AFED8F22744DB5B981ACBE668D56|1210652190" UniqueId="541552ed-63dc-49b7-a9ed-8c3d3a763da3">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5</number>
                  <property>Created</property>
                  <propertyId>8c06beca-0777-48f7-91c7-6da68bc07b69</propertyId>
                  <period>days</period>
                </formula>
                <action type="action" id="Microsoft.Office.RecordsManagement.PolicyFeatures.Expiration.Action.MoveToRecycleBin"/>
              </data>
            </stages>
          </Schedule>
        </Schedules>
      </p:CustomData>
    </p:PolicyItem>
  </p:PolicyItems>
</p:Polic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138FC-3D0C-49F4-B959-A4F8931E84BB}">
  <ds:schemaRefs>
    <ds:schemaRef ds:uri="http://schemas.microsoft.com/sharepoint/v3/contenttype/forms"/>
  </ds:schemaRefs>
</ds:datastoreItem>
</file>

<file path=customXml/itemProps2.xml><?xml version="1.0" encoding="utf-8"?>
<ds:datastoreItem xmlns:ds="http://schemas.openxmlformats.org/officeDocument/2006/customXml" ds:itemID="{9F147B03-317B-48BC-A246-8ADA9586C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40143e-7e2d-49b9-930b-84e9c4a1a722"/>
    <ds:schemaRef ds:uri="6cb4db18-9012-4923-b77b-5181de988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305497-6EF1-4D6D-8321-BCBC4C8B23BF}">
  <ds:schemaRefs>
    <ds:schemaRef ds:uri="office.server.policy"/>
  </ds:schemaRefs>
</ds:datastoreItem>
</file>

<file path=customXml/itemProps4.xml><?xml version="1.0" encoding="utf-8"?>
<ds:datastoreItem xmlns:ds="http://schemas.openxmlformats.org/officeDocument/2006/customXml" ds:itemID="{C552E673-CB4C-4787-9573-0DF28F0C7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LETTERWI.DOT</Template>
  <TotalTime>13</TotalTime>
  <Pages>18</Pages>
  <Words>6454</Words>
  <Characters>39223</Characters>
  <Application>Microsoft Office Word</Application>
  <DocSecurity>8</DocSecurity>
  <Lines>326</Lines>
  <Paragraphs>91</Paragraphs>
  <ScaleCrop>false</ScaleCrop>
  <HeadingPairs>
    <vt:vector size="2" baseType="variant">
      <vt:variant>
        <vt:lpstr>Title</vt:lpstr>
      </vt:variant>
      <vt:variant>
        <vt:i4>1</vt:i4>
      </vt:variant>
    </vt:vector>
  </HeadingPairs>
  <TitlesOfParts>
    <vt:vector size="1" baseType="lpstr">
      <vt:lpstr>2018 EFFECTIVENESS MONITORING COMMITTEE ANNUAL REPORT AND WORKPLAN</vt:lpstr>
    </vt:vector>
  </TitlesOfParts>
  <Manager/>
  <Company/>
  <LinksUpToDate>false</LinksUpToDate>
  <CharactersWithSpaces>45586</CharactersWithSpaces>
  <SharedDoc>false</SharedDoc>
  <HyperlinkBase/>
  <HLinks>
    <vt:vector size="78" baseType="variant">
      <vt:variant>
        <vt:i4>5111822</vt:i4>
      </vt:variant>
      <vt:variant>
        <vt:i4>33</vt:i4>
      </vt:variant>
      <vt:variant>
        <vt:i4>0</vt:i4>
      </vt:variant>
      <vt:variant>
        <vt:i4>5</vt:i4>
      </vt:variant>
      <vt:variant>
        <vt:lpwstr>http://www.wildlifeprofessional.org/western/tws_abstract_detail.php?abstractID=2020</vt:lpwstr>
      </vt:variant>
      <vt:variant>
        <vt:lpwstr/>
      </vt:variant>
      <vt:variant>
        <vt:i4>655468</vt:i4>
      </vt:variant>
      <vt:variant>
        <vt:i4>30</vt:i4>
      </vt:variant>
      <vt:variant>
        <vt:i4>0</vt:i4>
      </vt:variant>
      <vt:variant>
        <vt:i4>5</vt:i4>
      </vt:variant>
      <vt:variant>
        <vt:lpwstr>http://www.bof.fire.ca.gov/board_committees/effectiveness_monitoring_committee_/proposed_projects/emc-2017-001_final_report.pdf</vt:lpwstr>
      </vt:variant>
      <vt:variant>
        <vt:lpwstr/>
      </vt:variant>
      <vt:variant>
        <vt:i4>6094929</vt:i4>
      </vt:variant>
      <vt:variant>
        <vt:i4>27</vt:i4>
      </vt:variant>
      <vt:variant>
        <vt:i4>0</vt:i4>
      </vt:variant>
      <vt:variant>
        <vt:i4>5</vt:i4>
      </vt:variant>
      <vt:variant>
        <vt:lpwstr>https://gsa.confex.com/gsa/2016CD/webprogram/Paper274597.html</vt:lpwstr>
      </vt:variant>
      <vt:variant>
        <vt:lpwstr/>
      </vt:variant>
      <vt:variant>
        <vt:i4>5439499</vt:i4>
      </vt:variant>
      <vt:variant>
        <vt:i4>24</vt:i4>
      </vt:variant>
      <vt:variant>
        <vt:i4>0</vt:i4>
      </vt:variant>
      <vt:variant>
        <vt:i4>5</vt:i4>
      </vt:variant>
      <vt:variant>
        <vt:lpwstr>https://digitalcommons.mtu.edu/etdr/287/</vt:lpwstr>
      </vt:variant>
      <vt:variant>
        <vt:lpwstr/>
      </vt:variant>
      <vt:variant>
        <vt:i4>2097244</vt:i4>
      </vt:variant>
      <vt:variant>
        <vt:i4>21</vt:i4>
      </vt:variant>
      <vt:variant>
        <vt:i4>0</vt:i4>
      </vt:variant>
      <vt:variant>
        <vt:i4>5</vt:i4>
      </vt:variant>
      <vt:variant>
        <vt:lpwstr>http://www.bof.fire.ca.gov/board_committees/effectiveness_monitoring_committee_/mm0618/emc_4-a-_calfire_erosion_statistical_final_report_20june2018.pdf</vt:lpwstr>
      </vt:variant>
      <vt:variant>
        <vt:lpwstr/>
      </vt:variant>
      <vt:variant>
        <vt:i4>2097244</vt:i4>
      </vt:variant>
      <vt:variant>
        <vt:i4>18</vt:i4>
      </vt:variant>
      <vt:variant>
        <vt:i4>0</vt:i4>
      </vt:variant>
      <vt:variant>
        <vt:i4>5</vt:i4>
      </vt:variant>
      <vt:variant>
        <vt:lpwstr>http://www.bof.fire.ca.gov/board_committees/effectiveness_monitoring_committee_/mm0618/emc_4-a-_calfire_erosion_statistical_final_report_20june2018.pdf</vt:lpwstr>
      </vt:variant>
      <vt:variant>
        <vt:lpwstr/>
      </vt:variant>
      <vt:variant>
        <vt:i4>655468</vt:i4>
      </vt:variant>
      <vt:variant>
        <vt:i4>15</vt:i4>
      </vt:variant>
      <vt:variant>
        <vt:i4>0</vt:i4>
      </vt:variant>
      <vt:variant>
        <vt:i4>5</vt:i4>
      </vt:variant>
      <vt:variant>
        <vt:lpwstr>http://www.bof.fire.ca.gov/board_committees/effectiveness_monitoring_committee_/proposed_projects/emc-2017-001_final_report.pdf</vt:lpwstr>
      </vt:variant>
      <vt:variant>
        <vt:lpwstr/>
      </vt:variant>
      <vt:variant>
        <vt:i4>2097244</vt:i4>
      </vt:variant>
      <vt:variant>
        <vt:i4>12</vt:i4>
      </vt:variant>
      <vt:variant>
        <vt:i4>0</vt:i4>
      </vt:variant>
      <vt:variant>
        <vt:i4>5</vt:i4>
      </vt:variant>
      <vt:variant>
        <vt:lpwstr>http://www.bof.fire.ca.gov/board_committees/effectiveness_monitoring_committee_/mm0618/emc_4-a-_calfire_erosion_statistical_final_report_20june2018.pdf</vt:lpwstr>
      </vt:variant>
      <vt:variant>
        <vt:lpwstr/>
      </vt:variant>
      <vt:variant>
        <vt:i4>2097244</vt:i4>
      </vt:variant>
      <vt:variant>
        <vt:i4>9</vt:i4>
      </vt:variant>
      <vt:variant>
        <vt:i4>0</vt:i4>
      </vt:variant>
      <vt:variant>
        <vt:i4>5</vt:i4>
      </vt:variant>
      <vt:variant>
        <vt:lpwstr>http://www.bof.fire.ca.gov/board_committees/effectiveness_monitoring_committee_/mm0618/emc_4-a-_calfire_erosion_statistical_final_report_20june2018.pdf</vt:lpwstr>
      </vt:variant>
      <vt:variant>
        <vt:lpwstr/>
      </vt:variant>
      <vt:variant>
        <vt:i4>2490489</vt:i4>
      </vt:variant>
      <vt:variant>
        <vt:i4>6</vt:i4>
      </vt:variant>
      <vt:variant>
        <vt:i4>0</vt:i4>
      </vt:variant>
      <vt:variant>
        <vt:i4>5</vt:i4>
      </vt:variant>
      <vt:variant>
        <vt:lpwstr>http://bofdata.fire.ca.gov/board_committees/effectiveness_monitoring_committee_/</vt:lpwstr>
      </vt:variant>
      <vt:variant>
        <vt:lpwstr/>
      </vt:variant>
      <vt:variant>
        <vt:i4>2490473</vt:i4>
      </vt:variant>
      <vt:variant>
        <vt:i4>3</vt:i4>
      </vt:variant>
      <vt:variant>
        <vt:i4>0</vt:i4>
      </vt:variant>
      <vt:variant>
        <vt:i4>5</vt:i4>
      </vt:variant>
      <vt:variant>
        <vt:lpwstr>http://bof.fire.ca.gov/board_committees/effectiveness_monitoring_committee_/</vt:lpwstr>
      </vt:variant>
      <vt:variant>
        <vt:lpwstr/>
      </vt:variant>
      <vt:variant>
        <vt:i4>2490473</vt:i4>
      </vt:variant>
      <vt:variant>
        <vt:i4>0</vt:i4>
      </vt:variant>
      <vt:variant>
        <vt:i4>0</vt:i4>
      </vt:variant>
      <vt:variant>
        <vt:i4>5</vt:i4>
      </vt:variant>
      <vt:variant>
        <vt:lpwstr>http://bof.fire.ca.gov/board_committees/effectiveness_monitoring_committee_/</vt:lpwstr>
      </vt:variant>
      <vt:variant>
        <vt:lpwstr/>
      </vt:variant>
      <vt:variant>
        <vt:i4>2162779</vt:i4>
      </vt:variant>
      <vt:variant>
        <vt:i4>0</vt:i4>
      </vt:variant>
      <vt:variant>
        <vt:i4>0</vt:i4>
      </vt:variant>
      <vt:variant>
        <vt:i4>5</vt:i4>
      </vt:variant>
      <vt:variant>
        <vt:lpwstr>http://leginfo.legislature.ca.gov/faces/billNavClient.xhtml?bill_id=201120120AB1492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EFFECTIVENESS MONITORING COMMITTEE ANNUAL REPORT AND WORKPLAN</dc:title>
  <dc:subject/>
  <dc:creator>cdf cdf</dc:creator>
  <cp:keywords/>
  <dc:description>STATE OF CALIFORNIA STATE AND CONSUMER SERVICES AGENCY  GEORGE DEUKMEJIAN, Governor  ; _________________________________________________________________________ ______  DEP</dc:description>
  <cp:lastModifiedBy>Kemp, Mazonika@BOF</cp:lastModifiedBy>
  <cp:revision>4</cp:revision>
  <cp:lastPrinted>2019-11-13T19:42:00Z</cp:lastPrinted>
  <dcterms:created xsi:type="dcterms:W3CDTF">2021-12-13T20:40:00Z</dcterms:created>
  <dcterms:modified xsi:type="dcterms:W3CDTF">2021-12-13T21:08:00Z</dcterms:modified>
  <cp:category/>
</cp:coreProperties>
</file>