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485C"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0B92E614"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F96DEC"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3</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35278F">
      <w:pPr>
        <w:pStyle w:val="BodyText"/>
      </w:pPr>
    </w:p>
    <w:p w14:paraId="2F2B6E6B" w14:textId="547AA0EC" w:rsidR="00B86346" w:rsidRPr="00E6113B" w:rsidRDefault="00891716" w:rsidP="00D10578">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35278F">
      <w:pPr>
        <w:pStyle w:val="BodyText"/>
      </w:pPr>
    </w:p>
    <w:p w14:paraId="5B6AB41F" w14:textId="3DA19508" w:rsidR="00075E2E" w:rsidRPr="00E6113B" w:rsidRDefault="00DF4F60" w:rsidP="00A62129">
      <w:pPr>
        <w:spacing w:after="160"/>
        <w:jc w:val="center"/>
        <w:rPr>
          <w:rFonts w:ascii="Century Gothic" w:hAnsi="Century Gothic"/>
          <w:b/>
          <w:bCs/>
          <w:spacing w:val="25"/>
          <w:sz w:val="24"/>
          <w:szCs w:val="24"/>
        </w:rPr>
      </w:pPr>
      <w:r w:rsidRPr="00E6113B">
        <w:rPr>
          <w:rFonts w:ascii="Century Gothic" w:hAnsi="Century Gothic"/>
          <w:b/>
          <w:bCs/>
          <w:spacing w:val="-1"/>
          <w:sz w:val="24"/>
          <w:szCs w:val="24"/>
        </w:rPr>
        <w:t>J.</w:t>
      </w:r>
      <w:r w:rsidRPr="00E6113B">
        <w:rPr>
          <w:rFonts w:ascii="Century Gothic" w:hAnsi="Century Gothic"/>
          <w:b/>
          <w:bCs/>
          <w:spacing w:val="2"/>
          <w:sz w:val="24"/>
          <w:szCs w:val="24"/>
        </w:rPr>
        <w:t xml:space="preserve"> </w:t>
      </w:r>
      <w:r w:rsidRPr="00E6113B">
        <w:rPr>
          <w:rFonts w:ascii="Century Gothic" w:hAnsi="Century Gothic"/>
          <w:b/>
          <w:bCs/>
          <w:sz w:val="24"/>
          <w:szCs w:val="24"/>
        </w:rPr>
        <w:t>KEITH</w:t>
      </w:r>
      <w:r w:rsidRPr="00E6113B">
        <w:rPr>
          <w:rFonts w:ascii="Century Gothic" w:hAnsi="Century Gothic"/>
          <w:b/>
          <w:bCs/>
          <w:spacing w:val="-5"/>
          <w:sz w:val="24"/>
          <w:szCs w:val="24"/>
        </w:rPr>
        <w:t xml:space="preserve"> </w:t>
      </w:r>
      <w:r w:rsidRPr="00E6113B">
        <w:rPr>
          <w:rFonts w:ascii="Century Gothic" w:hAnsi="Century Gothic"/>
          <w:b/>
          <w:bCs/>
          <w:spacing w:val="-2"/>
          <w:sz w:val="24"/>
          <w:szCs w:val="24"/>
        </w:rPr>
        <w:t>GILLESS,</w:t>
      </w:r>
      <w:r w:rsidRPr="00E6113B">
        <w:rPr>
          <w:rFonts w:ascii="Century Gothic" w:hAnsi="Century Gothic"/>
          <w:b/>
          <w:bCs/>
          <w:spacing w:val="2"/>
          <w:sz w:val="24"/>
          <w:szCs w:val="24"/>
        </w:rPr>
        <w:t xml:space="preserve"> </w:t>
      </w:r>
      <w:r w:rsidRPr="00E6113B">
        <w:rPr>
          <w:rFonts w:ascii="Century Gothic" w:hAnsi="Century Gothic"/>
          <w:b/>
          <w:bCs/>
          <w:sz w:val="24"/>
          <w:szCs w:val="24"/>
        </w:rPr>
        <w:t>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14F406CF" w14:textId="0506CD0A"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JEREMIAH HALLISEY</w:t>
      </w:r>
    </w:p>
    <w:p w14:paraId="3F276E8D" w14:textId="51ABE3DB" w:rsidR="0035278F" w:rsidRPr="00E6113B"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26C8A9F" w14:textId="77777777" w:rsidR="00F96DEC" w:rsidRPr="00E6113B" w:rsidRDefault="00F96DEC" w:rsidP="006A482A">
      <w:pPr>
        <w:spacing w:after="720" w:line="360" w:lineRule="auto"/>
        <w:jc w:val="center"/>
        <w:rPr>
          <w:rFonts w:ascii="Century Gothic" w:hAnsi="Century Gothic" w:cs="Calibri"/>
          <w:b/>
          <w:spacing w:val="-4"/>
          <w:sz w:val="24"/>
          <w:szCs w:val="24"/>
        </w:rPr>
      </w:pPr>
    </w:p>
    <w:p w14:paraId="6E95C3A8" w14:textId="0880FD1B" w:rsidR="003D5B20" w:rsidRPr="00E6113B" w:rsidRDefault="00DF4F60" w:rsidP="00D10578">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Pr="00E6113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1F3C7544" w14:textId="59A02DE4"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5356EDA4" w14:textId="278ABC25" w:rsidR="006A482A" w:rsidRPr="00E6113B" w:rsidRDefault="006A482A" w:rsidP="00D2608F">
      <w:pPr>
        <w:spacing w:line="360" w:lineRule="auto"/>
        <w:ind w:firstLine="5"/>
        <w:jc w:val="center"/>
        <w:rPr>
          <w:rFonts w:ascii="Century Gothic" w:hAnsi="Century Gothic" w:cs="Calibri"/>
          <w:b/>
          <w:spacing w:val="-2"/>
          <w:sz w:val="24"/>
          <w:szCs w:val="24"/>
        </w:rPr>
        <w:sectPr w:rsidR="006A482A" w:rsidRPr="00E6113B" w:rsidSect="004E4589">
          <w:footnotePr>
            <w:pos w:val="beneathText"/>
          </w:footnotePr>
          <w:type w:val="continuous"/>
          <w:pgSz w:w="12240" w:h="15840"/>
          <w:pgMar w:top="1400" w:right="1680" w:bottom="1240" w:left="1680" w:header="736" w:footer="1048" w:gutter="0"/>
          <w:pgNumType w:start="1"/>
          <w:cols w:space="720"/>
        </w:sectPr>
      </w:pPr>
      <w:r w:rsidRPr="00E6113B">
        <w:rPr>
          <w:rFonts w:ascii="Century Gothic" w:hAnsi="Century Gothic" w:cs="Calibri"/>
          <w:b/>
          <w:spacing w:val="-2"/>
          <w:sz w:val="24"/>
          <w:szCs w:val="24"/>
        </w:rPr>
        <w:t>KRISTINA WOLF, ENVIRONMENTAL SCIENTIST</w:t>
      </w: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E6113B" w:rsidRDefault="00092D13" w:rsidP="00F3046E">
          <w:pPr>
            <w:pStyle w:val="TOCHeading"/>
          </w:pPr>
          <w:r w:rsidRPr="00E6113B">
            <w:t>Contents</w:t>
          </w:r>
        </w:p>
        <w:p w14:paraId="0025E40A" w14:textId="1428C61C" w:rsidR="00141E4D" w:rsidRDefault="00092D13">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r w:rsidRPr="00E6113B">
            <w:fldChar w:fldCharType="begin"/>
          </w:r>
          <w:r w:rsidRPr="00E6113B">
            <w:instrText xml:space="preserve"> TOC \o "1-3" \h \z \u </w:instrText>
          </w:r>
          <w:r w:rsidRPr="00E6113B">
            <w:fldChar w:fldCharType="separate"/>
          </w:r>
          <w:hyperlink w:anchor="_Toc169083968" w:history="1">
            <w:r w:rsidR="00141E4D" w:rsidRPr="00573F50">
              <w:rPr>
                <w:rStyle w:val="Hyperlink"/>
                <w:noProof/>
              </w:rPr>
              <w:t>Board Background and Organization</w:t>
            </w:r>
            <w:r w:rsidR="00141E4D">
              <w:rPr>
                <w:noProof/>
                <w:webHidden/>
              </w:rPr>
              <w:tab/>
            </w:r>
            <w:r w:rsidR="00141E4D">
              <w:rPr>
                <w:noProof/>
                <w:webHidden/>
              </w:rPr>
              <w:fldChar w:fldCharType="begin"/>
            </w:r>
            <w:r w:rsidR="00141E4D">
              <w:rPr>
                <w:noProof/>
                <w:webHidden/>
              </w:rPr>
              <w:instrText xml:space="preserve"> PAGEREF _Toc169083968 \h </w:instrText>
            </w:r>
            <w:r w:rsidR="00141E4D">
              <w:rPr>
                <w:noProof/>
                <w:webHidden/>
              </w:rPr>
            </w:r>
            <w:r w:rsidR="00141E4D">
              <w:rPr>
                <w:noProof/>
                <w:webHidden/>
              </w:rPr>
              <w:fldChar w:fldCharType="separate"/>
            </w:r>
            <w:r w:rsidR="00141E4D">
              <w:rPr>
                <w:noProof/>
                <w:webHidden/>
              </w:rPr>
              <w:t>3</w:t>
            </w:r>
            <w:r w:rsidR="00141E4D">
              <w:rPr>
                <w:noProof/>
                <w:webHidden/>
              </w:rPr>
              <w:fldChar w:fldCharType="end"/>
            </w:r>
          </w:hyperlink>
        </w:p>
        <w:p w14:paraId="48A9F773" w14:textId="41473F0C" w:rsidR="00141E4D" w:rsidRDefault="00D3345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69" w:history="1">
            <w:r w:rsidR="00141E4D" w:rsidRPr="00573F50">
              <w:rPr>
                <w:rStyle w:val="Hyperlink"/>
                <w:noProof/>
              </w:rPr>
              <w:t>Committee Updates</w:t>
            </w:r>
            <w:r w:rsidR="00141E4D">
              <w:rPr>
                <w:noProof/>
                <w:webHidden/>
              </w:rPr>
              <w:tab/>
            </w:r>
            <w:r w:rsidR="00141E4D">
              <w:rPr>
                <w:noProof/>
                <w:webHidden/>
              </w:rPr>
              <w:fldChar w:fldCharType="begin"/>
            </w:r>
            <w:r w:rsidR="00141E4D">
              <w:rPr>
                <w:noProof/>
                <w:webHidden/>
              </w:rPr>
              <w:instrText xml:space="preserve"> PAGEREF _Toc169083969 \h </w:instrText>
            </w:r>
            <w:r w:rsidR="00141E4D">
              <w:rPr>
                <w:noProof/>
                <w:webHidden/>
              </w:rPr>
            </w:r>
            <w:r w:rsidR="00141E4D">
              <w:rPr>
                <w:noProof/>
                <w:webHidden/>
              </w:rPr>
              <w:fldChar w:fldCharType="separate"/>
            </w:r>
            <w:r w:rsidR="00141E4D">
              <w:rPr>
                <w:noProof/>
                <w:webHidden/>
              </w:rPr>
              <w:t>4</w:t>
            </w:r>
            <w:r w:rsidR="00141E4D">
              <w:rPr>
                <w:noProof/>
                <w:webHidden/>
              </w:rPr>
              <w:fldChar w:fldCharType="end"/>
            </w:r>
          </w:hyperlink>
        </w:p>
        <w:p w14:paraId="3B86C9E0" w14:textId="73B990F7"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0" w:history="1">
            <w:r w:rsidR="00141E4D" w:rsidRPr="00573F50">
              <w:rPr>
                <w:rStyle w:val="Hyperlink"/>
                <w:noProof/>
              </w:rPr>
              <w:t>Chaptered Legislation with Future Regulatory Action by the Board</w:t>
            </w:r>
            <w:r w:rsidR="00141E4D">
              <w:rPr>
                <w:noProof/>
                <w:webHidden/>
              </w:rPr>
              <w:tab/>
            </w:r>
            <w:r w:rsidR="00141E4D">
              <w:rPr>
                <w:noProof/>
                <w:webHidden/>
              </w:rPr>
              <w:fldChar w:fldCharType="begin"/>
            </w:r>
            <w:r w:rsidR="00141E4D">
              <w:rPr>
                <w:noProof/>
                <w:webHidden/>
              </w:rPr>
              <w:instrText xml:space="preserve"> PAGEREF _Toc169083970 \h </w:instrText>
            </w:r>
            <w:r w:rsidR="00141E4D">
              <w:rPr>
                <w:noProof/>
                <w:webHidden/>
              </w:rPr>
            </w:r>
            <w:r w:rsidR="00141E4D">
              <w:rPr>
                <w:noProof/>
                <w:webHidden/>
              </w:rPr>
              <w:fldChar w:fldCharType="separate"/>
            </w:r>
            <w:r w:rsidR="00141E4D">
              <w:rPr>
                <w:noProof/>
                <w:webHidden/>
              </w:rPr>
              <w:t>12</w:t>
            </w:r>
            <w:r w:rsidR="00141E4D">
              <w:rPr>
                <w:noProof/>
                <w:webHidden/>
              </w:rPr>
              <w:fldChar w:fldCharType="end"/>
            </w:r>
          </w:hyperlink>
        </w:p>
        <w:p w14:paraId="3CFB6919" w14:textId="50251593"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1" w:history="1">
            <w:r w:rsidR="00141E4D" w:rsidRPr="00573F50">
              <w:rPr>
                <w:rStyle w:val="Hyperlink"/>
                <w:noProof/>
              </w:rPr>
              <w:t>Forest Health Trends</w:t>
            </w:r>
            <w:r w:rsidR="00141E4D">
              <w:rPr>
                <w:noProof/>
                <w:webHidden/>
              </w:rPr>
              <w:tab/>
            </w:r>
            <w:r w:rsidR="00141E4D">
              <w:rPr>
                <w:noProof/>
                <w:webHidden/>
              </w:rPr>
              <w:fldChar w:fldCharType="begin"/>
            </w:r>
            <w:r w:rsidR="00141E4D">
              <w:rPr>
                <w:noProof/>
                <w:webHidden/>
              </w:rPr>
              <w:instrText xml:space="preserve"> PAGEREF _Toc169083971 \h </w:instrText>
            </w:r>
            <w:r w:rsidR="00141E4D">
              <w:rPr>
                <w:noProof/>
                <w:webHidden/>
              </w:rPr>
            </w:r>
            <w:r w:rsidR="00141E4D">
              <w:rPr>
                <w:noProof/>
                <w:webHidden/>
              </w:rPr>
              <w:fldChar w:fldCharType="separate"/>
            </w:r>
            <w:r w:rsidR="00141E4D">
              <w:rPr>
                <w:noProof/>
                <w:webHidden/>
              </w:rPr>
              <w:t>12</w:t>
            </w:r>
            <w:r w:rsidR="00141E4D">
              <w:rPr>
                <w:noProof/>
                <w:webHidden/>
              </w:rPr>
              <w:fldChar w:fldCharType="end"/>
            </w:r>
          </w:hyperlink>
        </w:p>
        <w:p w14:paraId="13FBABF1" w14:textId="150F9C79" w:rsidR="00141E4D" w:rsidRDefault="00D3345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2" w:history="1">
            <w:r w:rsidR="00141E4D" w:rsidRPr="00573F50">
              <w:rPr>
                <w:rStyle w:val="Hyperlink"/>
                <w:noProof/>
              </w:rPr>
              <w:t>Monitoring Efforts</w:t>
            </w:r>
            <w:r w:rsidR="00141E4D">
              <w:rPr>
                <w:noProof/>
                <w:webHidden/>
              </w:rPr>
              <w:tab/>
            </w:r>
            <w:r w:rsidR="00141E4D">
              <w:rPr>
                <w:noProof/>
                <w:webHidden/>
              </w:rPr>
              <w:fldChar w:fldCharType="begin"/>
            </w:r>
            <w:r w:rsidR="00141E4D">
              <w:rPr>
                <w:noProof/>
                <w:webHidden/>
              </w:rPr>
              <w:instrText xml:space="preserve"> PAGEREF _Toc169083972 \h </w:instrText>
            </w:r>
            <w:r w:rsidR="00141E4D">
              <w:rPr>
                <w:noProof/>
                <w:webHidden/>
              </w:rPr>
            </w:r>
            <w:r w:rsidR="00141E4D">
              <w:rPr>
                <w:noProof/>
                <w:webHidden/>
              </w:rPr>
              <w:fldChar w:fldCharType="separate"/>
            </w:r>
            <w:r w:rsidR="00141E4D">
              <w:rPr>
                <w:noProof/>
                <w:webHidden/>
              </w:rPr>
              <w:t>12</w:t>
            </w:r>
            <w:r w:rsidR="00141E4D">
              <w:rPr>
                <w:noProof/>
                <w:webHidden/>
              </w:rPr>
              <w:fldChar w:fldCharType="end"/>
            </w:r>
          </w:hyperlink>
        </w:p>
        <w:p w14:paraId="38FFF772" w14:textId="08249585" w:rsidR="00141E4D" w:rsidRDefault="00D3345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3" w:history="1">
            <w:r w:rsidR="00141E4D" w:rsidRPr="00573F50">
              <w:rPr>
                <w:rStyle w:val="Hyperlink"/>
                <w:noProof/>
              </w:rPr>
              <w:t>Pest Conditions</w:t>
            </w:r>
            <w:r w:rsidR="00141E4D">
              <w:rPr>
                <w:noProof/>
                <w:webHidden/>
              </w:rPr>
              <w:tab/>
            </w:r>
            <w:r w:rsidR="00141E4D">
              <w:rPr>
                <w:noProof/>
                <w:webHidden/>
              </w:rPr>
              <w:fldChar w:fldCharType="begin"/>
            </w:r>
            <w:r w:rsidR="00141E4D">
              <w:rPr>
                <w:noProof/>
                <w:webHidden/>
              </w:rPr>
              <w:instrText xml:space="preserve"> PAGEREF _Toc169083973 \h </w:instrText>
            </w:r>
            <w:r w:rsidR="00141E4D">
              <w:rPr>
                <w:noProof/>
                <w:webHidden/>
              </w:rPr>
            </w:r>
            <w:r w:rsidR="00141E4D">
              <w:rPr>
                <w:noProof/>
                <w:webHidden/>
              </w:rPr>
              <w:fldChar w:fldCharType="separate"/>
            </w:r>
            <w:r w:rsidR="00141E4D">
              <w:rPr>
                <w:noProof/>
                <w:webHidden/>
              </w:rPr>
              <w:t>13</w:t>
            </w:r>
            <w:r w:rsidR="00141E4D">
              <w:rPr>
                <w:noProof/>
                <w:webHidden/>
              </w:rPr>
              <w:fldChar w:fldCharType="end"/>
            </w:r>
          </w:hyperlink>
        </w:p>
        <w:p w14:paraId="4EC4A169" w14:textId="5BAEC3CA"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4" w:history="1">
            <w:r w:rsidR="00141E4D" w:rsidRPr="00573F50">
              <w:rPr>
                <w:rStyle w:val="Hyperlink"/>
                <w:noProof/>
              </w:rPr>
              <w:t>Timber Harvest Permitting</w:t>
            </w:r>
            <w:r w:rsidR="00141E4D">
              <w:rPr>
                <w:noProof/>
                <w:webHidden/>
              </w:rPr>
              <w:tab/>
            </w:r>
            <w:r w:rsidR="00141E4D">
              <w:rPr>
                <w:noProof/>
                <w:webHidden/>
              </w:rPr>
              <w:fldChar w:fldCharType="begin"/>
            </w:r>
            <w:r w:rsidR="00141E4D">
              <w:rPr>
                <w:noProof/>
                <w:webHidden/>
              </w:rPr>
              <w:instrText xml:space="preserve"> PAGEREF _Toc169083974 \h </w:instrText>
            </w:r>
            <w:r w:rsidR="00141E4D">
              <w:rPr>
                <w:noProof/>
                <w:webHidden/>
              </w:rPr>
            </w:r>
            <w:r w:rsidR="00141E4D">
              <w:rPr>
                <w:noProof/>
                <w:webHidden/>
              </w:rPr>
              <w:fldChar w:fldCharType="separate"/>
            </w:r>
            <w:r w:rsidR="00141E4D">
              <w:rPr>
                <w:noProof/>
                <w:webHidden/>
              </w:rPr>
              <w:t>16</w:t>
            </w:r>
            <w:r w:rsidR="00141E4D">
              <w:rPr>
                <w:noProof/>
                <w:webHidden/>
              </w:rPr>
              <w:fldChar w:fldCharType="end"/>
            </w:r>
          </w:hyperlink>
        </w:p>
        <w:p w14:paraId="6871208B" w14:textId="4BBEFF1C"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5" w:history="1">
            <w:r w:rsidR="00141E4D" w:rsidRPr="00573F50">
              <w:rPr>
                <w:rStyle w:val="Hyperlink"/>
                <w:noProof/>
              </w:rPr>
              <w:t>Fire Protection Trends</w:t>
            </w:r>
            <w:r w:rsidR="00141E4D">
              <w:rPr>
                <w:noProof/>
                <w:webHidden/>
              </w:rPr>
              <w:tab/>
            </w:r>
            <w:r w:rsidR="00141E4D">
              <w:rPr>
                <w:noProof/>
                <w:webHidden/>
              </w:rPr>
              <w:fldChar w:fldCharType="begin"/>
            </w:r>
            <w:r w:rsidR="00141E4D">
              <w:rPr>
                <w:noProof/>
                <w:webHidden/>
              </w:rPr>
              <w:instrText xml:space="preserve"> PAGEREF _Toc169083975 \h </w:instrText>
            </w:r>
            <w:r w:rsidR="00141E4D">
              <w:rPr>
                <w:noProof/>
                <w:webHidden/>
              </w:rPr>
            </w:r>
            <w:r w:rsidR="00141E4D">
              <w:rPr>
                <w:noProof/>
                <w:webHidden/>
              </w:rPr>
              <w:fldChar w:fldCharType="separate"/>
            </w:r>
            <w:r w:rsidR="00141E4D">
              <w:rPr>
                <w:noProof/>
                <w:webHidden/>
              </w:rPr>
              <w:t>23</w:t>
            </w:r>
            <w:r w:rsidR="00141E4D">
              <w:rPr>
                <w:noProof/>
                <w:webHidden/>
              </w:rPr>
              <w:fldChar w:fldCharType="end"/>
            </w:r>
          </w:hyperlink>
        </w:p>
        <w:p w14:paraId="56FA67CF" w14:textId="0A140CC3" w:rsidR="00141E4D" w:rsidRDefault="00D3345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6" w:history="1">
            <w:r w:rsidR="00141E4D" w:rsidRPr="00573F50">
              <w:rPr>
                <w:rStyle w:val="Hyperlink"/>
                <w:rFonts w:ascii="Century Gothic" w:hAnsi="Century Gothic"/>
                <w:noProof/>
              </w:rPr>
              <w:t>Weather Patterns</w:t>
            </w:r>
            <w:r w:rsidR="00141E4D">
              <w:rPr>
                <w:noProof/>
                <w:webHidden/>
              </w:rPr>
              <w:tab/>
            </w:r>
            <w:r w:rsidR="00141E4D">
              <w:rPr>
                <w:noProof/>
                <w:webHidden/>
              </w:rPr>
              <w:fldChar w:fldCharType="begin"/>
            </w:r>
            <w:r w:rsidR="00141E4D">
              <w:rPr>
                <w:noProof/>
                <w:webHidden/>
              </w:rPr>
              <w:instrText xml:space="preserve"> PAGEREF _Toc169083976 \h </w:instrText>
            </w:r>
            <w:r w:rsidR="00141E4D">
              <w:rPr>
                <w:noProof/>
                <w:webHidden/>
              </w:rPr>
            </w:r>
            <w:r w:rsidR="00141E4D">
              <w:rPr>
                <w:noProof/>
                <w:webHidden/>
              </w:rPr>
              <w:fldChar w:fldCharType="separate"/>
            </w:r>
            <w:r w:rsidR="00141E4D">
              <w:rPr>
                <w:noProof/>
                <w:webHidden/>
              </w:rPr>
              <w:t>23</w:t>
            </w:r>
            <w:r w:rsidR="00141E4D">
              <w:rPr>
                <w:noProof/>
                <w:webHidden/>
              </w:rPr>
              <w:fldChar w:fldCharType="end"/>
            </w:r>
          </w:hyperlink>
        </w:p>
        <w:p w14:paraId="5F6D5EF1" w14:textId="712788F7" w:rsidR="00141E4D" w:rsidRDefault="00D3345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7" w:history="1">
            <w:r w:rsidR="00141E4D" w:rsidRPr="00573F50">
              <w:rPr>
                <w:rStyle w:val="Hyperlink"/>
                <w:rFonts w:ascii="Century Gothic" w:hAnsi="Century Gothic" w:cs="Calibri"/>
                <w:noProof/>
              </w:rPr>
              <w:t>Prescribed Fire and Fuel Reduction Efforts</w:t>
            </w:r>
            <w:r w:rsidR="00141E4D">
              <w:rPr>
                <w:noProof/>
                <w:webHidden/>
              </w:rPr>
              <w:tab/>
            </w:r>
            <w:r w:rsidR="00141E4D">
              <w:rPr>
                <w:noProof/>
                <w:webHidden/>
              </w:rPr>
              <w:fldChar w:fldCharType="begin"/>
            </w:r>
            <w:r w:rsidR="00141E4D">
              <w:rPr>
                <w:noProof/>
                <w:webHidden/>
              </w:rPr>
              <w:instrText xml:space="preserve"> PAGEREF _Toc169083977 \h </w:instrText>
            </w:r>
            <w:r w:rsidR="00141E4D">
              <w:rPr>
                <w:noProof/>
                <w:webHidden/>
              </w:rPr>
            </w:r>
            <w:r w:rsidR="00141E4D">
              <w:rPr>
                <w:noProof/>
                <w:webHidden/>
              </w:rPr>
              <w:fldChar w:fldCharType="separate"/>
            </w:r>
            <w:r w:rsidR="00141E4D">
              <w:rPr>
                <w:noProof/>
                <w:webHidden/>
              </w:rPr>
              <w:t>27</w:t>
            </w:r>
            <w:r w:rsidR="00141E4D">
              <w:rPr>
                <w:noProof/>
                <w:webHidden/>
              </w:rPr>
              <w:fldChar w:fldCharType="end"/>
            </w:r>
          </w:hyperlink>
        </w:p>
        <w:p w14:paraId="01E02F3A" w14:textId="65F02EC2" w:rsidR="00141E4D" w:rsidRDefault="00D3345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8" w:history="1">
            <w:r w:rsidR="00141E4D" w:rsidRPr="00573F50">
              <w:rPr>
                <w:rStyle w:val="Hyperlink"/>
                <w:rFonts w:ascii="Century Gothic" w:hAnsi="Century Gothic" w:cs="Calibri"/>
                <w:noProof/>
              </w:rPr>
              <w:t>California Vegetation Treatment Program (CalVTP)</w:t>
            </w:r>
            <w:r w:rsidR="00141E4D">
              <w:rPr>
                <w:noProof/>
                <w:webHidden/>
              </w:rPr>
              <w:tab/>
            </w:r>
            <w:r w:rsidR="00141E4D">
              <w:rPr>
                <w:noProof/>
                <w:webHidden/>
              </w:rPr>
              <w:fldChar w:fldCharType="begin"/>
            </w:r>
            <w:r w:rsidR="00141E4D">
              <w:rPr>
                <w:noProof/>
                <w:webHidden/>
              </w:rPr>
              <w:instrText xml:space="preserve"> PAGEREF _Toc169083978 \h </w:instrText>
            </w:r>
            <w:r w:rsidR="00141E4D">
              <w:rPr>
                <w:noProof/>
                <w:webHidden/>
              </w:rPr>
            </w:r>
            <w:r w:rsidR="00141E4D">
              <w:rPr>
                <w:noProof/>
                <w:webHidden/>
              </w:rPr>
              <w:fldChar w:fldCharType="separate"/>
            </w:r>
            <w:r w:rsidR="00141E4D">
              <w:rPr>
                <w:noProof/>
                <w:webHidden/>
              </w:rPr>
              <w:t>29</w:t>
            </w:r>
            <w:r w:rsidR="00141E4D">
              <w:rPr>
                <w:noProof/>
                <w:webHidden/>
              </w:rPr>
              <w:fldChar w:fldCharType="end"/>
            </w:r>
          </w:hyperlink>
        </w:p>
        <w:p w14:paraId="10807839" w14:textId="44BEE054"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79" w:history="1">
            <w:r w:rsidR="00141E4D" w:rsidRPr="00573F50">
              <w:rPr>
                <w:rStyle w:val="Hyperlink"/>
                <w:noProof/>
              </w:rPr>
              <w:t>Wildfire Activity</w:t>
            </w:r>
            <w:r w:rsidR="00141E4D">
              <w:rPr>
                <w:noProof/>
                <w:webHidden/>
              </w:rPr>
              <w:tab/>
            </w:r>
            <w:r w:rsidR="00141E4D">
              <w:rPr>
                <w:noProof/>
                <w:webHidden/>
              </w:rPr>
              <w:fldChar w:fldCharType="begin"/>
            </w:r>
            <w:r w:rsidR="00141E4D">
              <w:rPr>
                <w:noProof/>
                <w:webHidden/>
              </w:rPr>
              <w:instrText xml:space="preserve"> PAGEREF _Toc169083979 \h </w:instrText>
            </w:r>
            <w:r w:rsidR="00141E4D">
              <w:rPr>
                <w:noProof/>
                <w:webHidden/>
              </w:rPr>
            </w:r>
            <w:r w:rsidR="00141E4D">
              <w:rPr>
                <w:noProof/>
                <w:webHidden/>
              </w:rPr>
              <w:fldChar w:fldCharType="separate"/>
            </w:r>
            <w:r w:rsidR="00141E4D">
              <w:rPr>
                <w:noProof/>
                <w:webHidden/>
              </w:rPr>
              <w:t>32</w:t>
            </w:r>
            <w:r w:rsidR="00141E4D">
              <w:rPr>
                <w:noProof/>
                <w:webHidden/>
              </w:rPr>
              <w:fldChar w:fldCharType="end"/>
            </w:r>
          </w:hyperlink>
        </w:p>
        <w:p w14:paraId="2B90E65F" w14:textId="3B9B4680"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0" w:history="1">
            <w:r w:rsidR="00141E4D" w:rsidRPr="00573F50">
              <w:rPr>
                <w:rStyle w:val="Hyperlink"/>
                <w:noProof/>
              </w:rPr>
              <w:t>2023 Regulatory Accomplishments</w:t>
            </w:r>
            <w:r w:rsidR="00141E4D">
              <w:rPr>
                <w:noProof/>
                <w:webHidden/>
              </w:rPr>
              <w:tab/>
            </w:r>
            <w:r w:rsidR="00141E4D">
              <w:rPr>
                <w:noProof/>
                <w:webHidden/>
              </w:rPr>
              <w:fldChar w:fldCharType="begin"/>
            </w:r>
            <w:r w:rsidR="00141E4D">
              <w:rPr>
                <w:noProof/>
                <w:webHidden/>
              </w:rPr>
              <w:instrText xml:space="preserve"> PAGEREF _Toc169083980 \h </w:instrText>
            </w:r>
            <w:r w:rsidR="00141E4D">
              <w:rPr>
                <w:noProof/>
                <w:webHidden/>
              </w:rPr>
            </w:r>
            <w:r w:rsidR="00141E4D">
              <w:rPr>
                <w:noProof/>
                <w:webHidden/>
              </w:rPr>
              <w:fldChar w:fldCharType="separate"/>
            </w:r>
            <w:r w:rsidR="00141E4D">
              <w:rPr>
                <w:noProof/>
                <w:webHidden/>
              </w:rPr>
              <w:t>33</w:t>
            </w:r>
            <w:r w:rsidR="00141E4D">
              <w:rPr>
                <w:noProof/>
                <w:webHidden/>
              </w:rPr>
              <w:fldChar w:fldCharType="end"/>
            </w:r>
          </w:hyperlink>
        </w:p>
        <w:p w14:paraId="70E295D0" w14:textId="47758CFD"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1" w:history="1">
            <w:r w:rsidR="00141E4D" w:rsidRPr="00573F50">
              <w:rPr>
                <w:rStyle w:val="Hyperlink"/>
                <w:rFonts w:ascii="Century Gothic" w:hAnsi="Century Gothic"/>
                <w:noProof/>
              </w:rPr>
              <w:t>Local Government</w:t>
            </w:r>
            <w:r w:rsidR="00141E4D">
              <w:rPr>
                <w:noProof/>
                <w:webHidden/>
              </w:rPr>
              <w:tab/>
            </w:r>
            <w:r w:rsidR="00141E4D">
              <w:rPr>
                <w:noProof/>
                <w:webHidden/>
              </w:rPr>
              <w:fldChar w:fldCharType="begin"/>
            </w:r>
            <w:r w:rsidR="00141E4D">
              <w:rPr>
                <w:noProof/>
                <w:webHidden/>
              </w:rPr>
              <w:instrText xml:space="preserve"> PAGEREF _Toc169083981 \h </w:instrText>
            </w:r>
            <w:r w:rsidR="00141E4D">
              <w:rPr>
                <w:noProof/>
                <w:webHidden/>
              </w:rPr>
            </w:r>
            <w:r w:rsidR="00141E4D">
              <w:rPr>
                <w:noProof/>
                <w:webHidden/>
              </w:rPr>
              <w:fldChar w:fldCharType="separate"/>
            </w:r>
            <w:r w:rsidR="00141E4D">
              <w:rPr>
                <w:noProof/>
                <w:webHidden/>
              </w:rPr>
              <w:t>35</w:t>
            </w:r>
            <w:r w:rsidR="00141E4D">
              <w:rPr>
                <w:noProof/>
                <w:webHidden/>
              </w:rPr>
              <w:fldChar w:fldCharType="end"/>
            </w:r>
          </w:hyperlink>
        </w:p>
        <w:p w14:paraId="3F9A3B75" w14:textId="769A73A3"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2" w:history="1">
            <w:r w:rsidR="00141E4D" w:rsidRPr="00573F50">
              <w:rPr>
                <w:rStyle w:val="Hyperlink"/>
                <w:noProof/>
              </w:rPr>
              <w:t>State Forests</w:t>
            </w:r>
            <w:r w:rsidR="00141E4D">
              <w:rPr>
                <w:noProof/>
                <w:webHidden/>
              </w:rPr>
              <w:tab/>
            </w:r>
            <w:r w:rsidR="00141E4D">
              <w:rPr>
                <w:noProof/>
                <w:webHidden/>
              </w:rPr>
              <w:fldChar w:fldCharType="begin"/>
            </w:r>
            <w:r w:rsidR="00141E4D">
              <w:rPr>
                <w:noProof/>
                <w:webHidden/>
              </w:rPr>
              <w:instrText xml:space="preserve"> PAGEREF _Toc169083982 \h </w:instrText>
            </w:r>
            <w:r w:rsidR="00141E4D">
              <w:rPr>
                <w:noProof/>
                <w:webHidden/>
              </w:rPr>
            </w:r>
            <w:r w:rsidR="00141E4D">
              <w:rPr>
                <w:noProof/>
                <w:webHidden/>
              </w:rPr>
              <w:fldChar w:fldCharType="separate"/>
            </w:r>
            <w:r w:rsidR="00141E4D">
              <w:rPr>
                <w:noProof/>
                <w:webHidden/>
              </w:rPr>
              <w:t>38</w:t>
            </w:r>
            <w:r w:rsidR="00141E4D">
              <w:rPr>
                <w:noProof/>
                <w:webHidden/>
              </w:rPr>
              <w:fldChar w:fldCharType="end"/>
            </w:r>
          </w:hyperlink>
        </w:p>
        <w:p w14:paraId="1AE7CAC0" w14:textId="637213C8"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3" w:history="1">
            <w:r w:rsidR="00141E4D" w:rsidRPr="00573F50">
              <w:rPr>
                <w:rStyle w:val="Hyperlink"/>
                <w:noProof/>
              </w:rPr>
              <w:t>Professional Licensing and Forest Practice Enforcement</w:t>
            </w:r>
            <w:r w:rsidR="00141E4D">
              <w:rPr>
                <w:noProof/>
                <w:webHidden/>
              </w:rPr>
              <w:tab/>
            </w:r>
            <w:r w:rsidR="00141E4D">
              <w:rPr>
                <w:noProof/>
                <w:webHidden/>
              </w:rPr>
              <w:fldChar w:fldCharType="begin"/>
            </w:r>
            <w:r w:rsidR="00141E4D">
              <w:rPr>
                <w:noProof/>
                <w:webHidden/>
              </w:rPr>
              <w:instrText xml:space="preserve"> PAGEREF _Toc169083983 \h </w:instrText>
            </w:r>
            <w:r w:rsidR="00141E4D">
              <w:rPr>
                <w:noProof/>
                <w:webHidden/>
              </w:rPr>
            </w:r>
            <w:r w:rsidR="00141E4D">
              <w:rPr>
                <w:noProof/>
                <w:webHidden/>
              </w:rPr>
              <w:fldChar w:fldCharType="separate"/>
            </w:r>
            <w:r w:rsidR="00141E4D">
              <w:rPr>
                <w:noProof/>
                <w:webHidden/>
              </w:rPr>
              <w:t>38</w:t>
            </w:r>
            <w:r w:rsidR="00141E4D">
              <w:rPr>
                <w:noProof/>
                <w:webHidden/>
              </w:rPr>
              <w:fldChar w:fldCharType="end"/>
            </w:r>
          </w:hyperlink>
        </w:p>
        <w:p w14:paraId="4959FA05" w14:textId="414C27B9"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4" w:history="1">
            <w:r w:rsidR="00141E4D" w:rsidRPr="00573F50">
              <w:rPr>
                <w:rStyle w:val="Hyperlink"/>
                <w:noProof/>
              </w:rPr>
              <w:t>Acronyms</w:t>
            </w:r>
            <w:r w:rsidR="00141E4D">
              <w:rPr>
                <w:noProof/>
                <w:webHidden/>
              </w:rPr>
              <w:tab/>
            </w:r>
            <w:r w:rsidR="00141E4D">
              <w:rPr>
                <w:noProof/>
                <w:webHidden/>
              </w:rPr>
              <w:fldChar w:fldCharType="begin"/>
            </w:r>
            <w:r w:rsidR="00141E4D">
              <w:rPr>
                <w:noProof/>
                <w:webHidden/>
              </w:rPr>
              <w:instrText xml:space="preserve"> PAGEREF _Toc169083984 \h </w:instrText>
            </w:r>
            <w:r w:rsidR="00141E4D">
              <w:rPr>
                <w:noProof/>
                <w:webHidden/>
              </w:rPr>
            </w:r>
            <w:r w:rsidR="00141E4D">
              <w:rPr>
                <w:noProof/>
                <w:webHidden/>
              </w:rPr>
              <w:fldChar w:fldCharType="separate"/>
            </w:r>
            <w:r w:rsidR="00141E4D">
              <w:rPr>
                <w:noProof/>
                <w:webHidden/>
              </w:rPr>
              <w:t>40</w:t>
            </w:r>
            <w:r w:rsidR="00141E4D">
              <w:rPr>
                <w:noProof/>
                <w:webHidden/>
              </w:rPr>
              <w:fldChar w:fldCharType="end"/>
            </w:r>
          </w:hyperlink>
        </w:p>
        <w:p w14:paraId="1BD97C97" w14:textId="35F0F2E1" w:rsidR="00141E4D" w:rsidRDefault="00D3345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69083985" w:history="1">
            <w:r w:rsidR="00141E4D" w:rsidRPr="00573F50">
              <w:rPr>
                <w:rStyle w:val="Hyperlink"/>
                <w:noProof/>
              </w:rPr>
              <w:t>Works Cited</w:t>
            </w:r>
            <w:r w:rsidR="00141E4D">
              <w:rPr>
                <w:noProof/>
                <w:webHidden/>
              </w:rPr>
              <w:tab/>
            </w:r>
            <w:r w:rsidR="00141E4D">
              <w:rPr>
                <w:noProof/>
                <w:webHidden/>
              </w:rPr>
              <w:fldChar w:fldCharType="begin"/>
            </w:r>
            <w:r w:rsidR="00141E4D">
              <w:rPr>
                <w:noProof/>
                <w:webHidden/>
              </w:rPr>
              <w:instrText xml:space="preserve"> PAGEREF _Toc169083985 \h </w:instrText>
            </w:r>
            <w:r w:rsidR="00141E4D">
              <w:rPr>
                <w:noProof/>
                <w:webHidden/>
              </w:rPr>
            </w:r>
            <w:r w:rsidR="00141E4D">
              <w:rPr>
                <w:noProof/>
                <w:webHidden/>
              </w:rPr>
              <w:fldChar w:fldCharType="separate"/>
            </w:r>
            <w:r w:rsidR="00141E4D">
              <w:rPr>
                <w:noProof/>
                <w:webHidden/>
              </w:rPr>
              <w:t>41</w:t>
            </w:r>
            <w:r w:rsidR="00141E4D">
              <w:rPr>
                <w:noProof/>
                <w:webHidden/>
              </w:rPr>
              <w:fldChar w:fldCharType="end"/>
            </w:r>
          </w:hyperlink>
        </w:p>
        <w:p w14:paraId="39B11FF1" w14:textId="018D807B" w:rsidR="00092D13" w:rsidRPr="00E6113B" w:rsidRDefault="00092D13">
          <w:r w:rsidRPr="00E6113B">
            <w:rPr>
              <w:b/>
              <w:bCs/>
              <w:noProof/>
            </w:rPr>
            <w:fldChar w:fldCharType="end"/>
          </w:r>
        </w:p>
        <w:p w14:paraId="0E9967D3" w14:textId="0C1108A3" w:rsidR="005635E0" w:rsidRPr="00E6113B" w:rsidRDefault="00D33458">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D10578">
      <w:pPr>
        <w:spacing w:before="305"/>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D10578">
      <w:pPr>
        <w:spacing w:before="57" w:after="600" w:line="239" w:lineRule="auto"/>
        <w:ind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F3046E">
      <w:pPr>
        <w:pStyle w:val="Heading1"/>
      </w:pPr>
      <w:bookmarkStart w:id="0" w:name="_Toc89188546"/>
      <w:bookmarkStart w:id="1" w:name="_Toc169083968"/>
      <w:r w:rsidRPr="00E6113B">
        <w:t>Board Background and Organization</w:t>
      </w:r>
      <w:bookmarkEnd w:id="0"/>
      <w:bookmarkEnd w:id="1"/>
    </w:p>
    <w:p w14:paraId="00A297C2" w14:textId="6E1721EC" w:rsidR="00B86346" w:rsidRPr="00E6113B" w:rsidRDefault="00DF4F60" w:rsidP="0035278F">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r w:rsidRPr="00E6113B">
        <w:t>on the</w:t>
      </w:r>
      <w:r w:rsidRPr="00E6113B">
        <w:rPr>
          <w:spacing w:val="-5"/>
        </w:rPr>
        <w:t xml:space="preserve"> </w:t>
      </w:r>
      <w:r w:rsidRPr="00E6113B">
        <w:t>basis</w:t>
      </w:r>
      <w:r w:rsidRPr="00E6113B">
        <w:rPr>
          <w:spacing w:val="1"/>
        </w:rPr>
        <w:t xml:space="preserve"> </w:t>
      </w:r>
      <w:r w:rsidRPr="00E6113B">
        <w:rPr>
          <w:spacing w:val="-3"/>
        </w:rPr>
        <w:t xml:space="preserve">of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35278F">
      <w:pPr>
        <w:pStyle w:val="BodyText"/>
      </w:pPr>
    </w:p>
    <w:p w14:paraId="14D92EEA" w14:textId="20CA8D18" w:rsidR="00146FA4" w:rsidRPr="00E6113B" w:rsidRDefault="00DF4F60" w:rsidP="0035278F">
      <w:pPr>
        <w:pStyle w:val="BodyText"/>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p>
    <w:p w14:paraId="23359885" w14:textId="7798C9B5" w:rsidR="00B86346" w:rsidRPr="00E6113B" w:rsidRDefault="00DF4F60" w:rsidP="00D10578">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35278F">
      <w:pPr>
        <w:pStyle w:val="BodyText"/>
      </w:pPr>
    </w:p>
    <w:p w14:paraId="6F00F258" w14:textId="14446C26" w:rsidR="00B86346" w:rsidRPr="00E6113B" w:rsidRDefault="008E33FF" w:rsidP="00D10578">
      <w:pPr>
        <w:pStyle w:val="Heading4"/>
      </w:pPr>
      <w:r w:rsidRPr="00E6113B">
        <w:t>Committees Required by Statute</w:t>
      </w:r>
    </w:p>
    <w:p w14:paraId="796FE49F" w14:textId="55759096" w:rsidR="00B86346" w:rsidRPr="00E6113B" w:rsidRDefault="00DF4F60" w:rsidP="0035278F">
      <w:pPr>
        <w:pStyle w:val="BodyText"/>
      </w:pPr>
      <w:r w:rsidRPr="00E6113B">
        <w:t>Range Management Advisory Committee</w:t>
      </w:r>
    </w:p>
    <w:p w14:paraId="4D87FD60" w14:textId="54553F55" w:rsidR="00075E2E" w:rsidRPr="00E6113B" w:rsidRDefault="00DF4F60" w:rsidP="0035278F">
      <w:pPr>
        <w:pStyle w:val="BodyText"/>
      </w:pPr>
      <w:r w:rsidRPr="00E6113B">
        <w:t>Professional Foresters Examining Committee</w:t>
      </w:r>
    </w:p>
    <w:p w14:paraId="70E9DEA2" w14:textId="77229BE6" w:rsidR="00B86346" w:rsidRPr="00E6113B" w:rsidRDefault="00DF4F60" w:rsidP="0035278F">
      <w:pPr>
        <w:pStyle w:val="BodyText"/>
      </w:pPr>
      <w:r w:rsidRPr="00E6113B">
        <w:t>Soquel Advisory Committee</w:t>
      </w:r>
    </w:p>
    <w:p w14:paraId="05C3AF3C" w14:textId="77777777" w:rsidR="006E4BAA" w:rsidRPr="00E6113B" w:rsidRDefault="006E4BAA" w:rsidP="0035278F">
      <w:pPr>
        <w:pStyle w:val="BodyText"/>
      </w:pPr>
    </w:p>
    <w:p w14:paraId="20A41AA8" w14:textId="529F5A4C" w:rsidR="00A10517" w:rsidRPr="00E6113B" w:rsidRDefault="008E33FF" w:rsidP="00D10578">
      <w:pPr>
        <w:pStyle w:val="Heading4"/>
      </w:pPr>
      <w:r w:rsidRPr="00E6113B">
        <w:t>Internal Standing Committees</w:t>
      </w:r>
    </w:p>
    <w:p w14:paraId="5726B9F8" w14:textId="4781544E" w:rsidR="00FE0FF6" w:rsidRPr="00E6113B" w:rsidRDefault="00DF4F60" w:rsidP="0035278F">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35278F">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35278F">
      <w:pPr>
        <w:pStyle w:val="BodyText"/>
        <w:numPr>
          <w:ilvl w:val="0"/>
          <w:numId w:val="2"/>
        </w:numPr>
      </w:pPr>
      <w:r w:rsidRPr="00E6113B">
        <w:rPr>
          <w:u w:val="single"/>
        </w:rPr>
        <w:t>Management</w:t>
      </w:r>
      <w:r w:rsidR="00FE0FF6" w:rsidRPr="00E6113B">
        <w:t>: The mission of the Management Committee is to evaluate and promote 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State Forest management plans.</w:t>
      </w:r>
    </w:p>
    <w:p w14:paraId="36AE995A" w14:textId="77777777" w:rsidR="006E4BAA" w:rsidRPr="00E6113B" w:rsidRDefault="006E4BAA" w:rsidP="0035278F">
      <w:pPr>
        <w:pStyle w:val="BodyText"/>
      </w:pPr>
    </w:p>
    <w:p w14:paraId="7C6A4910" w14:textId="4A4AE7E2" w:rsidR="008E33FF" w:rsidRPr="00E6113B" w:rsidRDefault="008E33FF" w:rsidP="00D10578">
      <w:pPr>
        <w:pStyle w:val="Heading4"/>
      </w:pPr>
      <w:r w:rsidRPr="00E6113B">
        <w:t>External Advisory Committees</w:t>
      </w:r>
    </w:p>
    <w:p w14:paraId="7909E991" w14:textId="77777777" w:rsidR="00442852" w:rsidRPr="00E6113B" w:rsidRDefault="00442852" w:rsidP="0035278F">
      <w:pPr>
        <w:pStyle w:val="BodyText"/>
        <w:numPr>
          <w:ilvl w:val="0"/>
          <w:numId w:val="1"/>
        </w:numPr>
      </w:pPr>
      <w:r w:rsidRPr="00E6113B">
        <w:t>Effectiveness Monitoring Committee</w:t>
      </w:r>
    </w:p>
    <w:p w14:paraId="4CE4E720" w14:textId="765CE3FE" w:rsidR="00442852" w:rsidRPr="00E6113B" w:rsidRDefault="003207EC" w:rsidP="0035278F">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35278F">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35278F">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35278F">
      <w:pPr>
        <w:pStyle w:val="BodyText"/>
      </w:pPr>
    </w:p>
    <w:p w14:paraId="32BE655B" w14:textId="2602A138" w:rsidR="008C1BFA" w:rsidRPr="00E6113B" w:rsidRDefault="008C1BFA" w:rsidP="00D10578">
      <w:pPr>
        <w:pStyle w:val="Heading2"/>
      </w:pPr>
      <w:bookmarkStart w:id="2" w:name="_Toc169083969"/>
      <w:r w:rsidRPr="00E6113B">
        <w:t>Committee Updates</w:t>
      </w:r>
      <w:bookmarkEnd w:id="2"/>
    </w:p>
    <w:p w14:paraId="781FF7C9" w14:textId="77777777" w:rsidR="00092D13" w:rsidRPr="00E6113B" w:rsidRDefault="00E46AD9" w:rsidP="00D10578">
      <w:pPr>
        <w:pStyle w:val="Heading4"/>
        <w:sectPr w:rsidR="00092D13" w:rsidRPr="00E6113B"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bookmarkStart w:id="3" w:name="_Hlk88149785"/>
      <w:r w:rsidRPr="00E6113B">
        <w:t>Range Management Advisory Committee</w:t>
      </w:r>
    </w:p>
    <w:p w14:paraId="5262402D" w14:textId="77777777" w:rsidR="00E46AD9" w:rsidRPr="00E6113B" w:rsidRDefault="00E46AD9" w:rsidP="002C25AE"/>
    <w:p w14:paraId="59EF948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Range Management Advisory Committee (RMAC) is an advisory body to the Board of Forestry &amp; Fire Protection, statutorily authorized by Public Resources Code (PRC) § 741.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The Secretaries of the CNRA, CalEPA, and CDFA are required to notify, and encouraged to consult with, the RMAC on rangeland issues. </w:t>
      </w:r>
    </w:p>
    <w:p w14:paraId="583FC6A5" w14:textId="77777777" w:rsidR="00B748C6" w:rsidRPr="00E6113B" w:rsidRDefault="00B748C6" w:rsidP="00092D13">
      <w:pPr>
        <w:rPr>
          <w:rFonts w:ascii="Century Gothic" w:hAnsi="Century Gothic"/>
          <w:sz w:val="24"/>
          <w:szCs w:val="24"/>
        </w:rPr>
      </w:pPr>
    </w:p>
    <w:p w14:paraId="5722A1C3"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 xml:space="preserve">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p>
    <w:p w14:paraId="1BBC93AA" w14:textId="77777777" w:rsidR="00B748C6" w:rsidRPr="00E6113B" w:rsidRDefault="00B748C6" w:rsidP="00092D13">
      <w:pPr>
        <w:rPr>
          <w:rFonts w:ascii="Century Gothic" w:hAnsi="Century Gothic"/>
          <w:sz w:val="24"/>
          <w:szCs w:val="24"/>
        </w:rPr>
      </w:pPr>
    </w:p>
    <w:p w14:paraId="66A4AD0C" w14:textId="77777777" w:rsidR="00092D13" w:rsidRPr="00E6113B" w:rsidRDefault="00092D13" w:rsidP="00092D13">
      <w:pPr>
        <w:rPr>
          <w:rFonts w:ascii="Century Gothic" w:hAnsi="Century Gothic"/>
          <w:sz w:val="24"/>
          <w:szCs w:val="24"/>
        </w:rPr>
      </w:pPr>
      <w:r w:rsidRPr="00E6113B">
        <w:rPr>
          <w:rFonts w:ascii="Century Gothic" w:hAnsi="Century Gothic"/>
          <w:sz w:val="24"/>
          <w:szCs w:val="24"/>
        </w:rPr>
        <w:t>The RMAC conducted business virtually and in person in 2023, summarized as follows:</w:t>
      </w:r>
    </w:p>
    <w:p w14:paraId="568FA530"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hosted six open, virtual or hybrid public meetings to conduct committee business, and a quorum was reached at five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w:t>
      </w:r>
    </w:p>
    <w:p w14:paraId="5FC0F7A1"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Chair Dr. Marc Horney and Vice-Chair Dr. Stephanie Larson were appointed for one-year seats through January 2024. Member Bart Cremers was reappointed to a four-year term representing rangeland owners in May 2023. Terms expiring in early 2024 will be assessed at the first meeting of the new year to determine if current members will continue in their seats.</w:t>
      </w:r>
    </w:p>
    <w:p w14:paraId="08E8C97D"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w:t>
      </w:r>
      <w:r w:rsidRPr="00E6113B">
        <w:rPr>
          <w:rFonts w:ascii="Century Gothic" w:hAnsi="Century Gothic"/>
          <w:b/>
          <w:bCs/>
          <w:sz w:val="24"/>
          <w:szCs w:val="24"/>
        </w:rPr>
        <w:t>State Lands Grazing License and Land Management (SLGLLM) subcommittee</w:t>
      </w:r>
      <w:r w:rsidRPr="00E6113B">
        <w:rPr>
          <w:rFonts w:ascii="Century Gothic" w:hAnsi="Century Gothic"/>
          <w:sz w:val="24"/>
          <w:szCs w:val="24"/>
        </w:rPr>
        <w:t xml:space="preserve"> was dissolved after completing the first stage of documents to support grazing agreements, planning, and implementation. In late 2023, the RMAC began planning for finalization of </w:t>
      </w:r>
      <w:r w:rsidRPr="00E6113B">
        <w:rPr>
          <w:rFonts w:ascii="Century Gothic" w:hAnsi="Century Gothic"/>
          <w:sz w:val="24"/>
          <w:szCs w:val="24"/>
        </w:rPr>
        <w:lastRenderedPageBreak/>
        <w:t>deliverables around summer 2024, which will include:</w:t>
      </w:r>
    </w:p>
    <w:p w14:paraId="65866666"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License Agreement outline and template, with support and approval from the Department of General Services, and an example of a completed Grazing License Agreement; </w:t>
      </w:r>
    </w:p>
    <w:p w14:paraId="7013346A"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Grazing Management Plan outline and template to assist in creating a Grazing Management Plan as a stand-alone document or as an attachment to Grazing License Agreements, and an example of a completed Grazing Management Plan; and, </w:t>
      </w:r>
    </w:p>
    <w:p w14:paraId="2BCEACC9"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Guidance Booklet to accompany the templates and assist users in the development, planning, and implementation of grazing agreements and management plans, with a focus on state-managed lands. Applications to other land types will be addressed. </w:t>
      </w:r>
    </w:p>
    <w:p w14:paraId="32C7729D" w14:textId="51872C33"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Department of Forestry &amp; Fire Protection (CAL FIRE) and the Wildfire Prevention Grants Program partnered with RMAC to put on a January 18, 2023 workshop, </w:t>
      </w:r>
      <w:r w:rsidRPr="00E6113B">
        <w:rPr>
          <w:rFonts w:ascii="Century Gothic" w:hAnsi="Century Gothic"/>
          <w:b/>
          <w:bCs/>
          <w:sz w:val="24"/>
          <w:szCs w:val="24"/>
        </w:rPr>
        <w:t>Applying for a Wildfire Prevention Grant</w:t>
      </w:r>
      <w:r w:rsidRPr="00E6113B">
        <w:rPr>
          <w:rFonts w:ascii="Century Gothic" w:hAnsi="Century Gothic"/>
          <w:sz w:val="24"/>
          <w:szCs w:val="24"/>
        </w:rPr>
        <w:t>, with a focus on prescribed grazing projects. The grant application opened December 14</w:t>
      </w:r>
      <w:r w:rsidRPr="00E6113B">
        <w:rPr>
          <w:rFonts w:ascii="Century Gothic" w:hAnsi="Century Gothic"/>
          <w:sz w:val="24"/>
          <w:szCs w:val="24"/>
          <w:vertAlign w:val="superscript"/>
        </w:rPr>
        <w:t>th</w:t>
      </w:r>
      <w:r w:rsidRPr="00E6113B">
        <w:rPr>
          <w:rFonts w:ascii="Century Gothic" w:hAnsi="Century Gothic"/>
          <w:sz w:val="24"/>
          <w:szCs w:val="24"/>
        </w:rPr>
        <w:t xml:space="preserve">, and representatives from UCCE/UC ANR and CAL FIRE spoke at this virtual workshop to assist grazers interested in applying for this grant funding to support grazing projects for fuel reduction. This virtual workshop was attended by 198 registrants from regional, state, and federal agencies, academia, non-governmental organizations, private industry, and the community. </w:t>
      </w:r>
    </w:p>
    <w:p w14:paraId="2344F921" w14:textId="77777777" w:rsidR="00F87641" w:rsidRDefault="00092D13" w:rsidP="00F87641">
      <w:pPr>
        <w:numPr>
          <w:ilvl w:val="0"/>
          <w:numId w:val="23"/>
        </w:numPr>
        <w:rPr>
          <w:rFonts w:ascii="Century Gothic" w:hAnsi="Century Gothic"/>
          <w:sz w:val="24"/>
          <w:szCs w:val="24"/>
        </w:rPr>
      </w:pPr>
      <w:r w:rsidRPr="00E6113B">
        <w:rPr>
          <w:rFonts w:ascii="Century Gothic" w:hAnsi="Century Gothic"/>
          <w:sz w:val="24"/>
          <w:szCs w:val="24"/>
        </w:rPr>
        <w:t xml:space="preserve">The RMAC continued to plan and implement an </w:t>
      </w:r>
      <w:r w:rsidRPr="00E6113B">
        <w:rPr>
          <w:rFonts w:ascii="Century Gothic" w:hAnsi="Century Gothic"/>
          <w:b/>
          <w:bCs/>
          <w:sz w:val="24"/>
          <w:szCs w:val="24"/>
        </w:rPr>
        <w:t>Annual</w:t>
      </w:r>
      <w:r w:rsidRPr="00E6113B">
        <w:rPr>
          <w:rFonts w:ascii="Century Gothic" w:hAnsi="Century Gothic"/>
          <w:sz w:val="24"/>
          <w:szCs w:val="24"/>
        </w:rPr>
        <w:t xml:space="preserve"> </w:t>
      </w:r>
      <w:r w:rsidRPr="00E6113B">
        <w:rPr>
          <w:rFonts w:ascii="Century Gothic" w:hAnsi="Century Gothic"/>
          <w:b/>
          <w:bCs/>
          <w:sz w:val="24"/>
          <w:szCs w:val="24"/>
        </w:rPr>
        <w:t>Educational Workshop Series</w:t>
      </w:r>
      <w:r w:rsidRPr="00E6113B">
        <w:rPr>
          <w:rFonts w:ascii="Century Gothic" w:hAnsi="Century Gothic"/>
          <w:sz w:val="24"/>
          <w:szCs w:val="24"/>
        </w:rPr>
        <w:t>, with four field tours, two virtual workshops, and one hybrid workshop in 2023. The RMAC partnered with and leveraged resources from allied range organizations to attract speakers and attendees. The 2023 educational series focused on prescribed grazing for vegetation management and fuels reduction. Speakers, partners, and sponsors of workshops and field days spanned a wide range of private industry, governmental agencies, and non-governmental agencies.</w:t>
      </w:r>
    </w:p>
    <w:p w14:paraId="6F8663C2" w14:textId="1D5FE27B" w:rsidR="00092D13" w:rsidRPr="00F87641" w:rsidRDefault="00092D13" w:rsidP="00F87641">
      <w:pPr>
        <w:numPr>
          <w:ilvl w:val="0"/>
          <w:numId w:val="23"/>
        </w:numPr>
        <w:rPr>
          <w:rFonts w:ascii="Century Gothic" w:hAnsi="Century Gothic"/>
          <w:sz w:val="24"/>
          <w:szCs w:val="24"/>
        </w:rPr>
      </w:pPr>
      <w:r w:rsidRPr="00F87641">
        <w:rPr>
          <w:rFonts w:ascii="Century Gothic" w:hAnsi="Century Gothic"/>
          <w:sz w:val="24"/>
          <w:szCs w:val="24"/>
        </w:rPr>
        <w:t xml:space="preserve">To support the directive of PRC § 741 to advise the Board on rangeland resource matters under its purview, the RMAC conducted a range-focused field tour for the Board’s May 2023 meeting. </w:t>
      </w:r>
    </w:p>
    <w:p w14:paraId="1CF2F235"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process of revising the 2023 Annual Priorities, Goals, and Objectives began in late 2022 and was finalized in 2023 (see the 2022 Annual Report and Workplan on the RMAC webpage). </w:t>
      </w:r>
    </w:p>
    <w:p w14:paraId="039E91FA" w14:textId="77777777"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Appointed members and support staff to teams working under advised agencies and other organizations with synergistic goals: </w:t>
      </w:r>
    </w:p>
    <w:p w14:paraId="7552CE4D"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As a member of the CWGA and the CWGA’s Targeted Grazing Committee, Member Bush spear-headed an action team to liaise with that committee to develop several work products focused on prescribed grazing for fuels reduction. In early 2023 the action team completed an educational information sheet on Prescribed Herbivory to be shared with CAL FIRE, and potentially addended to the 2021 </w:t>
      </w:r>
      <w:hyperlink r:id="rId17" w:history="1">
        <w:r w:rsidRPr="00E6113B">
          <w:rPr>
            <w:rStyle w:val="Hyperlink"/>
            <w:rFonts w:ascii="Century Gothic" w:hAnsi="Century Gothic"/>
            <w:sz w:val="24"/>
            <w:szCs w:val="24"/>
          </w:rPr>
          <w:t>CAL FIRE Fuels Reduction Guidance</w:t>
        </w:r>
      </w:hyperlink>
      <w:r w:rsidRPr="00E6113B">
        <w:rPr>
          <w:rFonts w:ascii="Century Gothic" w:hAnsi="Century Gothic"/>
          <w:sz w:val="24"/>
          <w:szCs w:val="24"/>
        </w:rPr>
        <w:t xml:space="preserve"> (CAL FIRE 2021) or incorporated into future versions of this guidance. The RMAC awaits the Board and CAL FIRE’s direction for next steps in publication and dissemination of this information. This action team will also conduct a comprehensive update of the </w:t>
      </w:r>
      <w:hyperlink r:id="rId18" w:history="1">
        <w:r w:rsidRPr="00E6113B">
          <w:rPr>
            <w:rStyle w:val="Hyperlink"/>
            <w:rFonts w:ascii="Century Gothic" w:hAnsi="Century Gothic"/>
            <w:sz w:val="24"/>
            <w:szCs w:val="24"/>
          </w:rPr>
          <w:t xml:space="preserve">2015 Prescribed </w:t>
        </w:r>
        <w:r w:rsidRPr="00E6113B">
          <w:rPr>
            <w:rStyle w:val="Hyperlink"/>
            <w:rFonts w:ascii="Century Gothic" w:hAnsi="Century Gothic"/>
            <w:sz w:val="24"/>
            <w:szCs w:val="24"/>
          </w:rPr>
          <w:lastRenderedPageBreak/>
          <w:t>Herbivory</w:t>
        </w:r>
      </w:hyperlink>
      <w:r w:rsidRPr="00E6113B">
        <w:rPr>
          <w:rFonts w:ascii="Century Gothic" w:hAnsi="Century Gothic"/>
          <w:sz w:val="24"/>
          <w:szCs w:val="24"/>
        </w:rPr>
        <w:t xml:space="preserve"> white paper (RMAC 2015), and concurrently develop a stand-alone Technical Guide on Prescribed Herbivory in California, and expects to have drafts ready for review mid-2024. Members Paul Starrs, Dr. Stephanie Larson, and Joel Kramer will also contribute to these efforts. </w:t>
      </w:r>
    </w:p>
    <w:p w14:paraId="04C15FCE"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joined the </w:t>
      </w:r>
      <w:r w:rsidRPr="00E6113B">
        <w:rPr>
          <w:rFonts w:ascii="Century Gothic" w:hAnsi="Century Gothic"/>
          <w:b/>
          <w:bCs/>
          <w:sz w:val="24"/>
          <w:szCs w:val="24"/>
        </w:rPr>
        <w:t>Natural Working Lands (NWL) Science Team</w:t>
      </w:r>
      <w:r w:rsidRPr="00E6113B">
        <w:rPr>
          <w:rFonts w:ascii="Century Gothic" w:hAnsi="Century Gothic"/>
          <w:sz w:val="24"/>
          <w:szCs w:val="24"/>
        </w:rPr>
        <w:t xml:space="preserve"> under the CNRA in 2022 and has continued to work with and provide input to the team for integration of range-related resource issues into climate-smart strategies. Members of this team work to inform and review modeling and analyses for natural and working lands, advise state agencies on implementation strategies and standardized accounting, and provide recommendations on addressing barriers to efficient implementation of climate action in natural and working lands. Dr. Wolf also attends the related NWL Executive Advisory Committee (EAC)—a committee developed to support the implementation of </w:t>
      </w:r>
      <w:hyperlink r:id="rId19" w:history="1">
        <w:r w:rsidRPr="00E6113B">
          <w:rPr>
            <w:rStyle w:val="Hyperlink"/>
            <w:rFonts w:ascii="Century Gothic" w:hAnsi="Century Gothic"/>
            <w:sz w:val="24"/>
            <w:szCs w:val="24"/>
          </w:rPr>
          <w:t>AB 1757</w:t>
        </w:r>
      </w:hyperlink>
      <w:r w:rsidRPr="00E6113B">
        <w:rPr>
          <w:rFonts w:ascii="Century Gothic" w:hAnsi="Century Gothic"/>
          <w:sz w:val="24"/>
          <w:szCs w:val="24"/>
        </w:rPr>
        <w:t xml:space="preserve">—and presented to this committee at a public meeting in 2022 to provide information and guidance on range resource needs and concerns in California. In collaboration with the Air Resources Board and Department of Food and Agriculture, the NWL EAC will produce recommendations for nature-based climate solutions that reduce greenhouse gas emissions to support state goals to achieve carbon neutrality and foster climate adaptation and resilience by January 1, 2024. </w:t>
      </w:r>
    </w:p>
    <w:p w14:paraId="098510D2" w14:textId="77777777" w:rsidR="00092D13" w:rsidRPr="00E6113B" w:rsidRDefault="00092D13" w:rsidP="00092D13">
      <w:pPr>
        <w:numPr>
          <w:ilvl w:val="1"/>
          <w:numId w:val="23"/>
        </w:numPr>
        <w:rPr>
          <w:rFonts w:ascii="Century Gothic" w:hAnsi="Century Gothic"/>
          <w:sz w:val="24"/>
          <w:szCs w:val="24"/>
        </w:rPr>
      </w:pPr>
      <w:r w:rsidRPr="00E6113B">
        <w:rPr>
          <w:rFonts w:ascii="Century Gothic" w:hAnsi="Century Gothic"/>
          <w:sz w:val="24"/>
          <w:szCs w:val="24"/>
        </w:rPr>
        <w:t xml:space="preserve">Board staff Dr. Wolf was asked to be an author on the rangelands chapter of the Forest and Resource Assessment Program's report which assesses the amount and extent of California's forests and rangelands, analyzes their conditions, and identifies alternative management and policy guidelines. Members of the RMAC will also be asked to review the chapter draft prior to finalization. </w:t>
      </w:r>
    </w:p>
    <w:p w14:paraId="50E2F77E" w14:textId="25734F9A" w:rsidR="00092D13" w:rsidRPr="00E6113B" w:rsidRDefault="00092D13" w:rsidP="00092D13">
      <w:pPr>
        <w:numPr>
          <w:ilvl w:val="0"/>
          <w:numId w:val="23"/>
        </w:numPr>
        <w:rPr>
          <w:rFonts w:ascii="Century Gothic" w:hAnsi="Century Gothic"/>
          <w:sz w:val="24"/>
          <w:szCs w:val="24"/>
        </w:rPr>
      </w:pPr>
      <w:r w:rsidRPr="00E6113B">
        <w:rPr>
          <w:rFonts w:ascii="Century Gothic" w:hAnsi="Century Gothic"/>
          <w:sz w:val="24"/>
          <w:szCs w:val="24"/>
        </w:rPr>
        <w:t xml:space="preserve">The RMAC submitted a letter of guidance and recommendations to the </w:t>
      </w:r>
      <w:r w:rsidRPr="00E6113B">
        <w:rPr>
          <w:rFonts w:ascii="Century Gothic" w:hAnsi="Century Gothic"/>
          <w:b/>
          <w:bCs/>
          <w:sz w:val="24"/>
          <w:szCs w:val="24"/>
        </w:rPr>
        <w:t>Management Committee (MC)</w:t>
      </w:r>
      <w:r w:rsidRPr="00E6113B">
        <w:rPr>
          <w:rFonts w:ascii="Century Gothic" w:hAnsi="Century Gothic"/>
          <w:sz w:val="24"/>
          <w:szCs w:val="24"/>
        </w:rPr>
        <w:t>, a standing committee of the Board</w:t>
      </w:r>
      <w:r w:rsidR="00F12132">
        <w:rPr>
          <w:rFonts w:ascii="Century Gothic" w:hAnsi="Century Gothic"/>
          <w:sz w:val="24"/>
          <w:szCs w:val="24"/>
        </w:rPr>
        <w:t>,</w:t>
      </w:r>
      <w:r w:rsidRPr="00E6113B">
        <w:rPr>
          <w:rFonts w:ascii="Century Gothic" w:hAnsi="Century Gothic"/>
          <w:sz w:val="24"/>
          <w:szCs w:val="24"/>
        </w:rPr>
        <w:t xml:space="preserve"> providing input on the </w:t>
      </w:r>
      <w:r w:rsidRPr="00E6113B">
        <w:rPr>
          <w:rFonts w:ascii="Century Gothic" w:hAnsi="Century Gothic"/>
          <w:b/>
          <w:bCs/>
          <w:sz w:val="24"/>
          <w:szCs w:val="24"/>
        </w:rPr>
        <w:t>Joint Policy on Hardwoods</w:t>
      </w:r>
      <w:r w:rsidRPr="00E6113B">
        <w:rPr>
          <w:rFonts w:ascii="Century Gothic" w:hAnsi="Century Gothic"/>
          <w:sz w:val="24"/>
          <w:szCs w:val="24"/>
        </w:rPr>
        <w:t xml:space="preserve"> as the MC determined the need to revise, update, or otherwise alter </w:t>
      </w:r>
      <w:proofErr w:type="gramStart"/>
      <w:r w:rsidRPr="00E6113B">
        <w:rPr>
          <w:rFonts w:ascii="Century Gothic" w:hAnsi="Century Gothic"/>
          <w:sz w:val="24"/>
          <w:szCs w:val="24"/>
        </w:rPr>
        <w:t>this</w:t>
      </w:r>
      <w:proofErr w:type="gramEnd"/>
      <w:r w:rsidRPr="00E6113B">
        <w:rPr>
          <w:rFonts w:ascii="Century Gothic" w:hAnsi="Century Gothic"/>
          <w:sz w:val="24"/>
          <w:szCs w:val="24"/>
        </w:rPr>
        <w:t xml:space="preserve"> Policy. </w:t>
      </w:r>
    </w:p>
    <w:p w14:paraId="7633B14E" w14:textId="77777777" w:rsidR="00092D13" w:rsidRPr="00E6113B" w:rsidRDefault="00B21FFF" w:rsidP="00D10578">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Committee</w:t>
      </w:r>
    </w:p>
    <w:p w14:paraId="52082074" w14:textId="77777777" w:rsidR="00B21FFF" w:rsidRPr="00E6113B" w:rsidRDefault="00B21FFF" w:rsidP="00D10578">
      <w:pPr>
        <w:pStyle w:val="Heading4"/>
      </w:pPr>
    </w:p>
    <w:bookmarkEnd w:id="3"/>
    <w:p w14:paraId="210482C1" w14:textId="2E8BF8E6" w:rsidR="00523924" w:rsidRPr="00E6113B" w:rsidRDefault="00523924" w:rsidP="00523924">
      <w:pPr>
        <w:pStyle w:val="Default"/>
        <w:rPr>
          <w:rFonts w:ascii="Century Gothic" w:hAnsi="Century Gothic"/>
        </w:rPr>
      </w:pPr>
      <w:r w:rsidRPr="00E6113B">
        <w:rPr>
          <w:rFonts w:ascii="Century Gothic" w:hAnsi="Century Gothic"/>
        </w:rPr>
        <w:t xml:space="preserve">In 2023, the Professional Foresters Examining Committee (PFEC) continued to deliberate on priorities intended to improve examination outcomes through updating of the examination process. The PFEC also approved fifty-five new applications for the RPF exam. In April and October 2023, Registered Professional Forester (RPF) and Certified Rangeland Manager (CRM) examinations were carried out at three different locations. In total, ninety-one RPF applicants and four CRM applicants sat for these exams. For the April 2023 exam, fifty-six percent passed the RPF exam. For the October 2023 exam, </w:t>
      </w:r>
      <w:r w:rsidR="00CE5CC7" w:rsidRPr="00E6113B">
        <w:rPr>
          <w:rFonts w:ascii="Century Gothic" w:hAnsi="Century Gothic"/>
        </w:rPr>
        <w:t>sixty-three percent passed the RPF exam</w:t>
      </w:r>
      <w:r w:rsidRPr="00E6113B">
        <w:rPr>
          <w:rFonts w:ascii="Century Gothic" w:hAnsi="Century Gothic"/>
        </w:rPr>
        <w:t>.</w:t>
      </w:r>
    </w:p>
    <w:p w14:paraId="4518D83E" w14:textId="77777777" w:rsidR="00523924" w:rsidRPr="00E6113B" w:rsidRDefault="00523924" w:rsidP="00523924">
      <w:pPr>
        <w:pStyle w:val="Default"/>
        <w:rPr>
          <w:rFonts w:ascii="Century Gothic" w:hAnsi="Century Gothic"/>
        </w:rPr>
      </w:pPr>
    </w:p>
    <w:p w14:paraId="652CA0DB" w14:textId="553FF030"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The Board of Forestry</w:t>
      </w:r>
      <w:r w:rsidR="009E1111">
        <w:rPr>
          <w:rFonts w:ascii="Century Gothic" w:hAnsi="Century Gothic"/>
        </w:rPr>
        <w:t xml:space="preserve"> and Fire Protection</w:t>
      </w:r>
      <w:r w:rsidRPr="00E6113B">
        <w:rPr>
          <w:rFonts w:ascii="Century Gothic" w:hAnsi="Century Gothic"/>
        </w:rPr>
        <w:t xml:space="preserve">’s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Society of American Forester (SAF) accredited forestry programs </w:t>
      </w:r>
      <w:r w:rsidRPr="00E6113B">
        <w:rPr>
          <w:rFonts w:ascii="Century Gothic" w:hAnsi="Century Gothic"/>
        </w:rPr>
        <w:lastRenderedPageBreak/>
        <w:t>in the western US and Canada as well as the annual SAF convention. This last year, outreach was conducted as in-person presentations to the following institutions:</w:t>
      </w:r>
    </w:p>
    <w:p w14:paraId="14F11B62" w14:textId="078B8790"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Oregon State University</w:t>
      </w:r>
    </w:p>
    <w:p w14:paraId="5088B1B0" w14:textId="0EDC55A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University of British Columbia</w:t>
      </w:r>
    </w:p>
    <w:p w14:paraId="27159E45" w14:textId="35CE1C24"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College of the Redwoods</w:t>
      </w:r>
    </w:p>
    <w:p w14:paraId="03657976" w14:textId="3F1A6752"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Mt. Hood Community College</w:t>
      </w:r>
    </w:p>
    <w:p w14:paraId="66F166C7" w14:textId="11A323A3"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Lake Tahoe Community College</w:t>
      </w:r>
    </w:p>
    <w:p w14:paraId="5600C200" w14:textId="3A9AE088" w:rsidR="00523924" w:rsidRPr="00E6113B" w:rsidRDefault="00523924" w:rsidP="00523924">
      <w:pPr>
        <w:pStyle w:val="Default"/>
        <w:numPr>
          <w:ilvl w:val="0"/>
          <w:numId w:val="15"/>
        </w:numPr>
        <w:rPr>
          <w:rFonts w:ascii="Century Gothic" w:hAnsi="Century Gothic"/>
        </w:rPr>
      </w:pPr>
      <w:r w:rsidRPr="00E6113B">
        <w:rPr>
          <w:rFonts w:ascii="Century Gothic" w:hAnsi="Century Gothic"/>
        </w:rPr>
        <w:t>Society of American Foresters National Meeting Sacramento, CA</w:t>
      </w:r>
    </w:p>
    <w:p w14:paraId="761F4E71" w14:textId="77777777" w:rsidR="00523924" w:rsidRPr="00E6113B" w:rsidRDefault="00523924" w:rsidP="00523924">
      <w:pPr>
        <w:pStyle w:val="Default"/>
        <w:rPr>
          <w:rFonts w:ascii="Century Gothic" w:hAnsi="Century Gothic"/>
        </w:rPr>
      </w:pPr>
    </w:p>
    <w:p w14:paraId="2A113A17"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FEI has plans to visit the following colleges in the coming months.</w:t>
      </w:r>
    </w:p>
    <w:p w14:paraId="71EE53B4" w14:textId="77777777" w:rsidR="00523924" w:rsidRPr="00E6113B" w:rsidRDefault="00523924" w:rsidP="00523924">
      <w:pPr>
        <w:pStyle w:val="Default"/>
        <w:rPr>
          <w:rFonts w:ascii="Century Gothic" w:hAnsi="Century Gothic"/>
        </w:rPr>
      </w:pPr>
    </w:p>
    <w:p w14:paraId="76EC05ED" w14:textId="62A4A3B6"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Oregon State University</w:t>
      </w:r>
    </w:p>
    <w:p w14:paraId="57AC5FA4" w14:textId="612962F1"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Central Oregon State University</w:t>
      </w:r>
    </w:p>
    <w:p w14:paraId="0ADDEAE0" w14:textId="0BC5B1FD"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Mt. Hood Community College</w:t>
      </w:r>
    </w:p>
    <w:p w14:paraId="7E88541C" w14:textId="3A49E2BE"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Green River Community College</w:t>
      </w:r>
    </w:p>
    <w:p w14:paraId="4F0FB3FA" w14:textId="3F8C76D4"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The University of British Columbia</w:t>
      </w:r>
    </w:p>
    <w:p w14:paraId="287856C3" w14:textId="0AB77AC3" w:rsidR="00523924" w:rsidRPr="00E6113B" w:rsidRDefault="00523924" w:rsidP="009E1111">
      <w:pPr>
        <w:pStyle w:val="Default"/>
        <w:numPr>
          <w:ilvl w:val="0"/>
          <w:numId w:val="16"/>
        </w:numPr>
        <w:ind w:left="1710"/>
        <w:rPr>
          <w:rFonts w:ascii="Century Gothic" w:hAnsi="Century Gothic"/>
        </w:rPr>
      </w:pPr>
      <w:r w:rsidRPr="00E6113B">
        <w:rPr>
          <w:rFonts w:ascii="Century Gothic" w:hAnsi="Century Gothic"/>
        </w:rPr>
        <w:t>Forestry Professionals British Columbia Annual Conference</w:t>
      </w:r>
    </w:p>
    <w:p w14:paraId="2BA5419F" w14:textId="77777777" w:rsidR="00523924" w:rsidRPr="00E6113B" w:rsidRDefault="00523924" w:rsidP="00523924">
      <w:pPr>
        <w:pStyle w:val="Default"/>
        <w:rPr>
          <w:rFonts w:ascii="Century Gothic" w:hAnsi="Century Gothic"/>
        </w:rPr>
      </w:pPr>
    </w:p>
    <w:p w14:paraId="7DD32EE0" w14:textId="77777777"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In 2023, the CAL FIRE Communications department helped the Board create an online promotional video about becoming a Registered Professional Forester.  It can be found on YouTube and on the CAL FIRE and Board of Forestry Facebook pages.</w:t>
      </w:r>
    </w:p>
    <w:p w14:paraId="29BA3778" w14:textId="77777777" w:rsidR="00523924" w:rsidRPr="00E6113B" w:rsidRDefault="00523924" w:rsidP="001534C0">
      <w:pPr>
        <w:pStyle w:val="Default"/>
        <w:rPr>
          <w:rFonts w:ascii="Century Gothic" w:hAnsi="Century Gothic"/>
        </w:rPr>
      </w:pPr>
      <w:r w:rsidRPr="00E6113B">
        <w:rPr>
          <w:rFonts w:ascii="Century Gothic" w:hAnsi="Century Gothic"/>
        </w:rPr>
        <w:t xml:space="preserve"> </w:t>
      </w:r>
    </w:p>
    <w:p w14:paraId="67EEC63E" w14:textId="0CC7B6F8" w:rsidR="00523924" w:rsidRPr="00E6113B" w:rsidRDefault="00523924" w:rsidP="00523924">
      <w:pPr>
        <w:pStyle w:val="Default"/>
        <w:numPr>
          <w:ilvl w:val="0"/>
          <w:numId w:val="14"/>
        </w:numPr>
        <w:rPr>
          <w:rFonts w:ascii="Century Gothic" w:hAnsi="Century Gothic"/>
        </w:rPr>
      </w:pPr>
      <w:r w:rsidRPr="00E6113B">
        <w:rPr>
          <w:rFonts w:ascii="Century Gothic" w:hAnsi="Century Gothic"/>
        </w:rPr>
        <w:t>Other items for PFEC consideration in 2023 include PFEC priorities:</w:t>
      </w:r>
    </w:p>
    <w:p w14:paraId="4E381595" w14:textId="77777777" w:rsidR="00523924" w:rsidRPr="00E6113B" w:rsidRDefault="00523924" w:rsidP="00523924">
      <w:pPr>
        <w:pStyle w:val="Default"/>
        <w:rPr>
          <w:rFonts w:ascii="Century Gothic" w:hAnsi="Century Gothic"/>
        </w:rPr>
      </w:pPr>
    </w:p>
    <w:p w14:paraId="58A0E5E5" w14:textId="77777777" w:rsidR="00523924" w:rsidRPr="00E6113B" w:rsidRDefault="00523924" w:rsidP="009E1111">
      <w:pPr>
        <w:pStyle w:val="Default"/>
        <w:numPr>
          <w:ilvl w:val="0"/>
          <w:numId w:val="17"/>
        </w:numPr>
        <w:ind w:left="1620"/>
        <w:rPr>
          <w:rFonts w:ascii="Century Gothic" w:hAnsi="Century Gothic"/>
        </w:rPr>
      </w:pPr>
      <w:r w:rsidRPr="00E6113B">
        <w:rPr>
          <w:rFonts w:ascii="Century Gothic" w:hAnsi="Century Gothic"/>
        </w:rPr>
        <w:t xml:space="preserve">Consideration of Board certification of an Apprentice Professional Forester (APF) educational program to assist in exam preparedness and performance. This includes consideration of an abbreviated examination associated with successful completion of an APF program and successful testing of core competency forestry concepts by enrollees in an APF program.   </w:t>
      </w:r>
    </w:p>
    <w:p w14:paraId="2FA06A31" w14:textId="77777777" w:rsidR="00523924" w:rsidRPr="00E6113B" w:rsidRDefault="00523924" w:rsidP="009E1111">
      <w:pPr>
        <w:pStyle w:val="Default"/>
        <w:ind w:left="1620"/>
        <w:rPr>
          <w:rFonts w:ascii="Century Gothic" w:hAnsi="Century Gothic"/>
        </w:rPr>
      </w:pPr>
    </w:p>
    <w:p w14:paraId="3816B823" w14:textId="124763CE" w:rsidR="00523924" w:rsidRPr="00E6113B" w:rsidRDefault="00523924" w:rsidP="009E1111">
      <w:pPr>
        <w:pStyle w:val="Default"/>
        <w:numPr>
          <w:ilvl w:val="0"/>
          <w:numId w:val="17"/>
        </w:numPr>
        <w:ind w:left="1620"/>
        <w:rPr>
          <w:rFonts w:ascii="Century Gothic" w:hAnsi="Century Gothic"/>
        </w:rPr>
      </w:pPr>
      <w:r w:rsidRPr="00E6113B">
        <w:rPr>
          <w:rFonts w:ascii="Century Gothic" w:hAnsi="Century Gothic"/>
        </w:rPr>
        <w:t xml:space="preserve">Consideration of changes to the requirements for qualifying forestry work experience under 1621.1(b)(4) to include arboriculture when conducted on forested landscapes for public safety purposes. Under this proposal, arboriculture experience would be limited to two years of qualifying forestry experience but would </w:t>
      </w:r>
      <w:r w:rsidRPr="00E6113B">
        <w:rPr>
          <w:rFonts w:ascii="Century Gothic" w:hAnsi="Century Gothic"/>
          <w:u w:val="single"/>
        </w:rPr>
        <w:t>not</w:t>
      </w:r>
      <w:r w:rsidRPr="00E6113B">
        <w:rPr>
          <w:rFonts w:ascii="Century Gothic" w:hAnsi="Century Gothic"/>
        </w:rPr>
        <w:t xml:space="preserve"> qualify for experience under an RPF supervisor regardless of the work being conducted at the supervisory or planning level as described in 14 CCR 1622 (c)(1).</w:t>
      </w:r>
    </w:p>
    <w:p w14:paraId="508441B2" w14:textId="17CDED3F" w:rsidR="00F54D5D" w:rsidRPr="00E6113B" w:rsidRDefault="00F54D5D" w:rsidP="00BD6A2E">
      <w:pPr>
        <w:pStyle w:val="Default"/>
        <w:rPr>
          <w:rFonts w:ascii="Century Gothic" w:hAnsi="Century Gothic" w:cs="Times New Roman"/>
          <w:bCs/>
          <w:color w:val="auto"/>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
          <w:bCs/>
          <w:color w:val="000000"/>
          <w:sz w:val="24"/>
          <w:szCs w:val="24"/>
        </w:rPr>
        <w:t xml:space="preserve">Effectiveness Monitoring Committee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63323625" w14:textId="6CD0DB28"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provide a more effective feedback loop to policymakers, managers, agencies, and the </w:t>
      </w:r>
      <w:r w:rsidRPr="00E6113B">
        <w:rPr>
          <w:rFonts w:ascii="Century Gothic" w:hAnsi="Century Gothic" w:cs="Arial"/>
          <w:color w:val="000000"/>
          <w:sz w:val="24"/>
          <w:szCs w:val="24"/>
        </w:rPr>
        <w:lastRenderedPageBreak/>
        <w:t xml:space="preserve">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and the Board developed a suite of critical monitoring questions based on input from a variety of stakeholders and organized them into 11 themes. The EMC uses these themes and critical questions as guidance to solicit and evaluate research monitoring projects with the goal of developing a process-based understanding of the effectiveness of the FPRs and associated regulations in maintaining and enhancing water quality and aquatic and wildlife habitats. The themes and questions </w:t>
      </w:r>
      <w:r w:rsidR="00056BA9">
        <w:rPr>
          <w:rFonts w:ascii="Century Gothic" w:hAnsi="Century Gothic" w:cs="Arial"/>
          <w:color w:val="000000"/>
          <w:sz w:val="24"/>
          <w:szCs w:val="24"/>
        </w:rPr>
        <w:t xml:space="preserve">are </w:t>
      </w:r>
      <w:r w:rsidRPr="00E6113B">
        <w:rPr>
          <w:rFonts w:ascii="Century Gothic" w:hAnsi="Century Gothic" w:cs="Arial"/>
          <w:color w:val="000000"/>
          <w:sz w:val="24"/>
          <w:szCs w:val="24"/>
        </w:rPr>
        <w:t xml:space="preserve">revisited annually and revised as needed. </w:t>
      </w:r>
    </w:p>
    <w:p w14:paraId="1854262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6F4756B0"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following is a summary of EMC activities in 2023:  </w:t>
      </w:r>
    </w:p>
    <w:p w14:paraId="1ED59F91"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04573A72"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met four times virtually in open, webcast meetings to conduct business, including a field tour at Boggs Mountain Demonstration State Forest in November to observe monitoring projects. The tour was attended by members of the public, governmental and non-governmental agencies, and forestry and industry professionals from across the State.</w:t>
      </w:r>
    </w:p>
    <w:p w14:paraId="2169E6CE"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A Project Liaison Guide was development for distribution to new members and project liaisons to provide clarity around the responsibilities of project liaisons. </w:t>
      </w:r>
    </w:p>
    <w:p w14:paraId="76C839EF"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Two new members were welcomed to the EMC, a new co-chair was appointed, and the updated Membership Roster is available </w:t>
      </w:r>
      <w:hyperlink r:id="rId20" w:history="1">
        <w:r w:rsidRPr="00E6113B">
          <w:rPr>
            <w:rStyle w:val="Hyperlink"/>
            <w:rFonts w:ascii="Century Gothic" w:hAnsi="Century Gothic" w:cs="Arial"/>
            <w:sz w:val="24"/>
            <w:szCs w:val="24"/>
          </w:rPr>
          <w:t>online</w:t>
        </w:r>
      </w:hyperlink>
      <w:r w:rsidRPr="00E6113B">
        <w:rPr>
          <w:rFonts w:ascii="Century Gothic" w:hAnsi="Century Gothic" w:cs="Arial"/>
          <w:color w:val="000000"/>
          <w:sz w:val="24"/>
          <w:szCs w:val="24"/>
        </w:rPr>
        <w:t xml:space="preserve">: </w:t>
      </w:r>
    </w:p>
    <w:p w14:paraId="7A6382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Drew Coe filled the seat of former co-chair Loretta Moreno in July. Member Coe continues to served on the EMC as a representative of the Department of Forestry and Fire Protection (CAL FIRE). </w:t>
      </w:r>
    </w:p>
    <w:p w14:paraId="5692724B" w14:textId="227CC20E"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Jonathan Meurer joined the EMC in March as an agency representative of the Central Valley Regional Water Quality Control Board. Mr. Meurer is an Engineering Geologist for the Central Valley Regional Water Quality Control Board and filled the seat behind Justin LaNier. </w:t>
      </w:r>
    </w:p>
    <w:p w14:paraId="4B37829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Clesi Bennett filled Loretta Moreno’s seat in November as representative of the California Natural Resources Agency.</w:t>
      </w:r>
    </w:p>
    <w:p w14:paraId="2B997814" w14:textId="3BED32DA"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Research Themes and Critical Monitoring Questions (CMQs) were revised</w:t>
      </w:r>
      <w:r w:rsidR="00347BDF" w:rsidRPr="00E6113B">
        <w:rPr>
          <w:rFonts w:ascii="Century Gothic" w:hAnsi="Century Gothic" w:cs="Arial"/>
          <w:color w:val="000000"/>
          <w:sz w:val="24"/>
          <w:szCs w:val="24"/>
        </w:rPr>
        <w:t xml:space="preserve"> and</w:t>
      </w:r>
      <w:r w:rsidRPr="00E6113B">
        <w:rPr>
          <w:rFonts w:ascii="Century Gothic" w:hAnsi="Century Gothic" w:cs="Arial"/>
          <w:color w:val="000000"/>
          <w:sz w:val="24"/>
          <w:szCs w:val="24"/>
        </w:rPr>
        <w:t xml:space="preserve"> approved in March. One new Research Theme—Resilience to Disturbance in a Changing Climate—was incorporated into the previous set of 11 Themes, and several CMQs were removed, revised, or added (see </w:t>
      </w:r>
      <w:hyperlink r:id="rId21" w:history="1">
        <w:r w:rsidRPr="00E6113B">
          <w:rPr>
            <w:rStyle w:val="Hyperlink"/>
            <w:rFonts w:ascii="Century Gothic" w:hAnsi="Century Gothic" w:cs="Arial"/>
            <w:sz w:val="24"/>
            <w:szCs w:val="24"/>
          </w:rPr>
          <w:t>EMC 2023b</w:t>
        </w:r>
      </w:hyperlink>
      <w:r w:rsidRPr="00E6113B">
        <w:rPr>
          <w:rFonts w:ascii="Century Gothic" w:hAnsi="Century Gothic" w:cs="Arial"/>
          <w:color w:val="000000"/>
          <w:sz w:val="24"/>
          <w:szCs w:val="24"/>
        </w:rPr>
        <w:t xml:space="preserve"> for details).</w:t>
      </w:r>
    </w:p>
    <w:p w14:paraId="39A06AF6" w14:textId="77777777" w:rsidR="00BD6A2E" w:rsidRPr="00E6113B" w:rsidRDefault="00BD6A2E" w:rsidP="00BD6A2E">
      <w:pPr>
        <w:widowControl/>
        <w:numPr>
          <w:ilvl w:val="0"/>
          <w:numId w:val="21"/>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The EMC designated six priority CMQs to prioritize for funding in Fiscal Year (FY) 2022/23 FY. As in previous years, these questions were prioritized for research funding, but not to the exclusion of projects focusing on other CMQs or other research needs related to the FPRs and associated regulations. </w:t>
      </w:r>
    </w:p>
    <w:p w14:paraId="5A343515"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The EMC received an ongoing allocation of $425,000 from the Timber Regulation and Forest Restoration Fund, of which $337,500 was allocated to newly and previously awarded ongoing projects.</w:t>
      </w:r>
    </w:p>
    <w:p w14:paraId="1FE55F0A" w14:textId="5531DC55"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lastRenderedPageBreak/>
        <w:t>The EMC reviewed four Initial Concept Proposals (ICPs) and requested Full Project Proposals (FPPs) from all four research teams. Upon review and discussion, the committee voted to recommend funding for one proposal for $149,429.00</w:t>
      </w:r>
      <w:r w:rsidR="00056BA9">
        <w:rPr>
          <w:rFonts w:ascii="Century Gothic" w:hAnsi="Century Gothic" w:cs="Arial"/>
          <w:color w:val="000000"/>
          <w:sz w:val="24"/>
          <w:szCs w:val="24"/>
        </w:rPr>
        <w:t xml:space="preserve">. </w:t>
      </w:r>
      <w:r w:rsidRPr="00E6113B">
        <w:rPr>
          <w:rFonts w:ascii="Century Gothic" w:hAnsi="Century Gothic" w:cs="Arial"/>
          <w:color w:val="000000"/>
          <w:sz w:val="24"/>
          <w:szCs w:val="24"/>
        </w:rPr>
        <w:t xml:space="preserve">The EMC tabled a vote on an additional project for an upcoming meeting and a vote is anticipated at the first meeting in 2024. Project information for these two projects is as follows: </w:t>
      </w:r>
    </w:p>
    <w:p w14:paraId="3D7BD88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u w:val="single"/>
        </w:rPr>
      </w:pPr>
      <w:r w:rsidRPr="00E6113B">
        <w:rPr>
          <w:rFonts w:ascii="Century Gothic" w:hAnsi="Century Gothic" w:cs="Arial"/>
          <w:color w:val="000000"/>
          <w:sz w:val="24"/>
          <w:szCs w:val="24"/>
        </w:rPr>
        <w:t xml:space="preserve">Funded: </w:t>
      </w:r>
      <w:hyperlink r:id="rId22" w:history="1">
        <w:r w:rsidRPr="00E6113B">
          <w:rPr>
            <w:rStyle w:val="Hyperlink"/>
            <w:rFonts w:ascii="Century Gothic" w:hAnsi="Century Gothic" w:cs="Arial"/>
            <w:sz w:val="24"/>
            <w:szCs w:val="24"/>
          </w:rPr>
          <w:t>EMC-2023-002: Assessing Fire Hazard, Risk, and Post Fire Recovery for Watercourse and Lake Protection Zones (WLPZ) and riparian areas of California</w:t>
        </w:r>
      </w:hyperlink>
    </w:p>
    <w:p w14:paraId="532D867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Vote Tabled: </w:t>
      </w:r>
      <w:hyperlink r:id="rId23" w:history="1">
        <w:r w:rsidRPr="00E6113B">
          <w:rPr>
            <w:rStyle w:val="Hyperlink"/>
            <w:rFonts w:ascii="Century Gothic" w:hAnsi="Century Gothic" w:cs="Arial"/>
            <w:sz w:val="24"/>
            <w:szCs w:val="24"/>
          </w:rPr>
          <w:t>EMC-2023-003: Pre and Post Harvest Fuel Loads for Site Productivity</w:t>
        </w:r>
      </w:hyperlink>
    </w:p>
    <w:p w14:paraId="148D10AD"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Presentations were provided at public EMC meetings by members of research teams for the following projects:</w:t>
      </w:r>
    </w:p>
    <w:p w14:paraId="02C57739"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EMC-2017-002: Boggs Mountain Demonstration State Forest Post-Fire Automated Bird Recorders Study (</w:t>
      </w:r>
      <w:hyperlink r:id="rId24" w:history="1">
        <w:r w:rsidRPr="00E6113B">
          <w:rPr>
            <w:rStyle w:val="Hyperlink"/>
            <w:rFonts w:ascii="Century Gothic" w:hAnsi="Century Gothic" w:cs="Arial"/>
            <w:sz w:val="24"/>
            <w:szCs w:val="24"/>
          </w:rPr>
          <w:t>Stanish 2023</w:t>
        </w:r>
      </w:hyperlink>
      <w:r w:rsidRPr="00E6113B">
        <w:rPr>
          <w:rFonts w:ascii="Century Gothic" w:hAnsi="Century Gothic" w:cs="Arial"/>
          <w:color w:val="000000"/>
          <w:sz w:val="24"/>
          <w:szCs w:val="24"/>
        </w:rPr>
        <w:t>) – Project update</w:t>
      </w:r>
    </w:p>
    <w:p w14:paraId="6C7B65E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 (</w:t>
      </w:r>
      <w:hyperlink r:id="rId25" w:history="1">
        <w:r w:rsidRPr="00E6113B">
          <w:rPr>
            <w:rStyle w:val="Hyperlink"/>
            <w:rFonts w:ascii="Century Gothic" w:hAnsi="Century Gothic" w:cs="Arial"/>
            <w:sz w:val="24"/>
            <w:szCs w:val="24"/>
          </w:rPr>
          <w:t>York 2023</w:t>
        </w:r>
      </w:hyperlink>
      <w:r w:rsidRPr="00E6113B">
        <w:rPr>
          <w:rFonts w:ascii="Century Gothic" w:hAnsi="Century Gothic" w:cs="Arial"/>
          <w:color w:val="000000"/>
          <w:sz w:val="24"/>
          <w:szCs w:val="24"/>
        </w:rPr>
        <w:t>) – Final project presentation</w:t>
      </w:r>
    </w:p>
    <w:p w14:paraId="550212F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 (</w:t>
      </w:r>
      <w:hyperlink r:id="rId26" w:history="1">
        <w:r w:rsidRPr="00E6113B">
          <w:rPr>
            <w:rStyle w:val="Hyperlink"/>
            <w:rFonts w:ascii="Century Gothic" w:hAnsi="Century Gothic" w:cs="Arial"/>
            <w:sz w:val="24"/>
            <w:szCs w:val="24"/>
          </w:rPr>
          <w:t>Surfleet 2023</w:t>
        </w:r>
      </w:hyperlink>
      <w:r w:rsidRPr="00E6113B">
        <w:rPr>
          <w:rFonts w:ascii="Century Gothic" w:hAnsi="Century Gothic" w:cs="Arial"/>
          <w:color w:val="000000"/>
          <w:sz w:val="24"/>
          <w:szCs w:val="24"/>
        </w:rPr>
        <w:t>) – Final project presentation</w:t>
      </w:r>
    </w:p>
    <w:p w14:paraId="4B9F2EE1" w14:textId="77777777" w:rsidR="00BD6A2E" w:rsidRPr="00E6113B" w:rsidRDefault="00BD6A2E" w:rsidP="00BD6A2E">
      <w:pPr>
        <w:widowControl/>
        <w:numPr>
          <w:ilvl w:val="0"/>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One or more brief project updates were provided by Board staff, Principal Investigators and/or Project Liaisons at EMC meetings for the following projects: </w:t>
      </w:r>
    </w:p>
    <w:p w14:paraId="34D645B5"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EMC-2016-003: Repeat LiDAR Surveys to Detect Landslides/Road Rule Effectiveness at Reducing Mass Wasting with LiDAR assessment</w:t>
      </w:r>
    </w:p>
    <w:p w14:paraId="1B3CEDA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EMC-2017-001: Effects of Forest Stand Density Reduction on Nutrient Cycling and Nutrient Transport at the Caspar Creek Experimental Watershed</w:t>
      </w:r>
    </w:p>
    <w:p w14:paraId="0B76ACD0"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EMC-2017-006: Tradeoffs among riparian buffer zones</w:t>
      </w:r>
    </w:p>
    <w:p w14:paraId="62D06C6B"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EMC-2017-007: The Life Cycle of Dead Trees and Implications for Management</w:t>
      </w:r>
    </w:p>
    <w:p w14:paraId="70DC424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EMC-2017-008: Do Forest Practice Rules Minimize Fir Mortality from Root Disease and Bark Beetle Interaction</w:t>
      </w:r>
    </w:p>
    <w:p w14:paraId="4CE8605C"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EMC-2018-003: Alternative Meadow Restoration</w:t>
      </w:r>
    </w:p>
    <w:p w14:paraId="09C581EA" w14:textId="77777777" w:rsidR="00BD6A2E" w:rsidRPr="00E6113B" w:rsidRDefault="00BD6A2E" w:rsidP="00BD6A2E">
      <w:pPr>
        <w:widowControl/>
        <w:numPr>
          <w:ilvl w:val="1"/>
          <w:numId w:val="20"/>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EMC-2018-006: Effect of Forest Practice Rules on Restoring Canopy Closure, Water Temperature, &amp; Primary Productivity</w:t>
      </w:r>
    </w:p>
    <w:p w14:paraId="7915B556"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p>
    <w:p w14:paraId="50DAA172" w14:textId="77777777" w:rsidR="00BD6A2E" w:rsidRPr="00E6113B" w:rsidRDefault="00BD6A2E" w:rsidP="00BD6A2E">
      <w:pPr>
        <w:widowControl/>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In 2024, the EMC priorities are as follows:</w:t>
      </w:r>
    </w:p>
    <w:p w14:paraId="6E708055"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Meet at least four times per year in open meetings accessible to the public. </w:t>
      </w:r>
    </w:p>
    <w:p w14:paraId="6CF828A0"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Meet in the field at least once to observe active or proposed monitoring projects.</w:t>
      </w:r>
    </w:p>
    <w:p w14:paraId="073B63C3"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Support projects related to the EMC Themes and CMQs, including funding new projects where knowledge gaps exist.</w:t>
      </w:r>
    </w:p>
    <w:p w14:paraId="0C6ED70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Monitor progress on EMC-funded or EMC-supported monitoring projects.</w:t>
      </w:r>
    </w:p>
    <w:p w14:paraId="133C014F"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Review and update EMC Research Themes and CMQs as needed. </w:t>
      </w:r>
    </w:p>
    <w:p w14:paraId="000AFE68"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Identify themes/CMQs for priority research funding in the 2024/25 RFP. </w:t>
      </w:r>
    </w:p>
    <w:p w14:paraId="40CE92EE" w14:textId="77777777" w:rsidR="00BD6A2E" w:rsidRPr="00E6113B" w:rsidRDefault="00BD6A2E" w:rsidP="00BD6A2E">
      <w:pPr>
        <w:widowControl/>
        <w:numPr>
          <w:ilvl w:val="0"/>
          <w:numId w:val="22"/>
        </w:numPr>
        <w:autoSpaceDE w:val="0"/>
        <w:autoSpaceDN w:val="0"/>
        <w:adjustRightInd w:val="0"/>
        <w:rPr>
          <w:rFonts w:ascii="Century Gothic" w:hAnsi="Century Gothic" w:cs="Arial"/>
          <w:color w:val="000000"/>
          <w:sz w:val="24"/>
          <w:szCs w:val="24"/>
        </w:rPr>
      </w:pPr>
      <w:r w:rsidRPr="00E6113B">
        <w:rPr>
          <w:rFonts w:ascii="Century Gothic" w:hAnsi="Century Gothic" w:cs="Arial"/>
          <w:color w:val="000000"/>
          <w:sz w:val="24"/>
          <w:szCs w:val="24"/>
        </w:rPr>
        <w:t xml:space="preserve">Use an Adaptive Management approach to provide research results that inform management and policy development. </w:t>
      </w:r>
    </w:p>
    <w:p w14:paraId="67741B77" w14:textId="77777777" w:rsidR="00BD6A2E" w:rsidRPr="00E6113B" w:rsidRDefault="00BD6A2E" w:rsidP="00D10578">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3CD46A01" w14:textId="77777777" w:rsidR="00BD6A2E" w:rsidRPr="00E6113B" w:rsidRDefault="00BD6A2E" w:rsidP="00D10578">
      <w:pPr>
        <w:pStyle w:val="Heading4"/>
        <w:sectPr w:rsidR="00BD6A2E"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D10578">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D10578">
      <w:pPr>
        <w:pStyle w:val="Heading4"/>
      </w:pPr>
    </w:p>
    <w:p w14:paraId="3A3F8E01"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33378A37" w14:textId="77777777" w:rsidR="00BD6A2E" w:rsidRPr="00E6113B" w:rsidRDefault="00BD6A2E" w:rsidP="00BD6A2E">
      <w:pPr>
        <w:rPr>
          <w:rFonts w:ascii="Century Gothic" w:eastAsia="Arial" w:hAnsi="Century Gothic"/>
          <w:sz w:val="24"/>
          <w:szCs w:val="24"/>
        </w:rPr>
      </w:pPr>
    </w:p>
    <w:p w14:paraId="74BE2F40"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Institute finalized and published three reports in 2023.</w:t>
      </w:r>
    </w:p>
    <w:p w14:paraId="3F27B132" w14:textId="77777777" w:rsidR="00BD6A2E" w:rsidRPr="00E6113B" w:rsidRDefault="00BD6A2E" w:rsidP="00BD6A2E">
      <w:pPr>
        <w:rPr>
          <w:rFonts w:ascii="Century Gothic" w:eastAsia="Arial" w:hAnsi="Century Gothic"/>
          <w:sz w:val="24"/>
          <w:szCs w:val="24"/>
        </w:rPr>
      </w:pPr>
    </w:p>
    <w:p w14:paraId="70C5AA3F" w14:textId="74DE8D0E"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 ‘</w:t>
      </w:r>
      <w:hyperlink r:id="rId27" w:history="1">
        <w:r w:rsidRPr="00E6113B">
          <w:rPr>
            <w:rStyle w:val="Hyperlink"/>
            <w:rFonts w:ascii="Century Gothic" w:eastAsia="Arial" w:hAnsi="Century Gothic"/>
            <w:sz w:val="24"/>
            <w:szCs w:val="24"/>
          </w:rPr>
          <w:t>Forest Biomass Pile Data Collection</w:t>
        </w:r>
      </w:hyperlink>
      <w:r w:rsidRPr="00E6113B">
        <w:rPr>
          <w:rFonts w:ascii="Century Gothic" w:eastAsia="Arial" w:hAnsi="Century Gothic"/>
          <w:sz w:val="24"/>
          <w:szCs w:val="24"/>
        </w:rPr>
        <w:t xml:space="preserve">’ (and associated </w:t>
      </w:r>
      <w:hyperlink r:id="rId28" w:history="1">
        <w:r w:rsidRPr="00E6113B">
          <w:rPr>
            <w:rStyle w:val="Hyperlink"/>
            <w:rFonts w:ascii="Century Gothic" w:eastAsia="Arial" w:hAnsi="Century Gothic"/>
            <w:sz w:val="24"/>
            <w:szCs w:val="24"/>
          </w:rPr>
          <w:t>Appendices</w:t>
        </w:r>
      </w:hyperlink>
      <w:r w:rsidRPr="00E6113B">
        <w:rPr>
          <w:rFonts w:ascii="Century Gothic" w:eastAsia="Arial" w:hAnsi="Century Gothic"/>
          <w:sz w:val="24"/>
          <w:szCs w:val="24"/>
        </w:rPr>
        <w:t>) report produced by Clere</w:t>
      </w:r>
      <w:r w:rsidR="00056BA9">
        <w:rPr>
          <w:rFonts w:ascii="Century Gothic" w:eastAsia="Arial" w:hAnsi="Century Gothic"/>
          <w:sz w:val="24"/>
          <w:szCs w:val="24"/>
        </w:rPr>
        <w:t>,</w:t>
      </w:r>
      <w:r w:rsidRPr="00E6113B">
        <w:rPr>
          <w:rFonts w:ascii="Century Gothic" w:eastAsia="Arial" w:hAnsi="Century Gothic"/>
          <w:sz w:val="24"/>
          <w:szCs w:val="24"/>
        </w:rPr>
        <w:t xml:space="preserve"> Inc and the Spatial Informatics Group was approved by the Board and published online in December 2023. This report quantifies the number of forest biomass piles in the state that accumulated from 2018 – 2021, including the area treated to create a given pile; composition, volume, and locations of the piles; and the planned vs actual fate of each pile. It also provides an inventory of forest biomass pile material potentially available for wood and biomass utilization. The project estimates there are potentially 150,000 acres of piles of forest biomass, representing approximately 1,000,000 tons of material in piles currently on the landscape, with 78% of this material occurring on public lands. Nineteen percent of this material, or 27,385 acres and 195,938 tons, is accessible via existing road networks.</w:t>
      </w:r>
    </w:p>
    <w:p w14:paraId="6A211FFB" w14:textId="77777777" w:rsidR="00BD6A2E" w:rsidRPr="00E6113B" w:rsidRDefault="00BD6A2E" w:rsidP="00BD6A2E">
      <w:pPr>
        <w:rPr>
          <w:rFonts w:ascii="Century Gothic" w:eastAsia="Arial" w:hAnsi="Century Gothic"/>
          <w:sz w:val="24"/>
          <w:szCs w:val="24"/>
        </w:rPr>
      </w:pPr>
    </w:p>
    <w:p w14:paraId="13D4CC02" w14:textId="77777777" w:rsidR="00BD6A2E" w:rsidRPr="00E6113B" w:rsidRDefault="00BD6A2E" w:rsidP="00BD6A2E">
      <w:pPr>
        <w:rPr>
          <w:rFonts w:ascii="Century Gothic" w:eastAsia="Arial" w:hAnsi="Century Gothic"/>
          <w:sz w:val="24"/>
          <w:szCs w:val="24"/>
        </w:rPr>
      </w:pPr>
      <w:bookmarkStart w:id="4" w:name="_Hlk156489083"/>
      <w:r w:rsidRPr="00E6113B">
        <w:rPr>
          <w:rFonts w:ascii="Century Gothic" w:eastAsia="Arial" w:hAnsi="Century Gothic"/>
          <w:sz w:val="24"/>
          <w:szCs w:val="24"/>
        </w:rPr>
        <w:t>A ’</w:t>
      </w:r>
      <w:hyperlink r:id="rId29" w:history="1">
        <w:r w:rsidRPr="00E6113B">
          <w:rPr>
            <w:rStyle w:val="Hyperlink"/>
            <w:rFonts w:ascii="Century Gothic" w:eastAsia="Arial" w:hAnsi="Century Gothic"/>
            <w:sz w:val="24"/>
            <w:szCs w:val="24"/>
          </w:rPr>
          <w:t>Cellulose Nanocrystals as a Value-Based Additive for Low Carbon Footprint Concrete with Limestone</w:t>
        </w:r>
      </w:hyperlink>
      <w:r w:rsidRPr="00E6113B">
        <w:rPr>
          <w:rFonts w:ascii="Century Gothic" w:eastAsia="Arial" w:hAnsi="Century Gothic"/>
          <w:sz w:val="24"/>
          <w:szCs w:val="24"/>
        </w:rPr>
        <w:t xml:space="preserve">’ report produced by Oregon State University was approved by the Board and published online in March 2023. The report found that cellulose nanocrystals (CNCs) obtained from forest biomass produced during sustainable forest management activities helps to reduce hazardous fuels and improve forest health. Additionally, when adding CNCs to Portland limestone cement (PLC), greenhouse gas (GHG) emissions are reduced by 19%.  A typical concrete freeway lane mile would consume about 3.5 acres of woody biomass when using CNCs mixed with PLC.  An education and outreach document covering this research was also produced and </w:t>
      </w:r>
      <w:hyperlink r:id="rId30" w:history="1">
        <w:r w:rsidRPr="00E6113B">
          <w:rPr>
            <w:rStyle w:val="Hyperlink"/>
            <w:rFonts w:ascii="Century Gothic" w:eastAsia="Arial" w:hAnsi="Century Gothic"/>
            <w:sz w:val="24"/>
            <w:szCs w:val="24"/>
          </w:rPr>
          <w:t>posted on online</w:t>
        </w:r>
      </w:hyperlink>
      <w:r w:rsidRPr="00E6113B">
        <w:rPr>
          <w:rFonts w:ascii="Century Gothic" w:eastAsia="Arial" w:hAnsi="Century Gothic"/>
          <w:sz w:val="24"/>
          <w:szCs w:val="24"/>
        </w:rPr>
        <w:t>.</w:t>
      </w:r>
    </w:p>
    <w:p w14:paraId="65A32AD0" w14:textId="77777777" w:rsidR="00BD6A2E" w:rsidRPr="00E6113B" w:rsidRDefault="00BD6A2E" w:rsidP="00BD6A2E">
      <w:pPr>
        <w:rPr>
          <w:rFonts w:ascii="Century Gothic" w:eastAsia="Arial" w:hAnsi="Century Gothic"/>
          <w:b/>
          <w:bCs/>
          <w:sz w:val="24"/>
          <w:szCs w:val="24"/>
        </w:rPr>
      </w:pPr>
    </w:p>
    <w:p w14:paraId="3FAE4F58"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The TallWood Design Institute added an </w:t>
      </w:r>
      <w:hyperlink r:id="rId31" w:history="1">
        <w:r w:rsidRPr="00E6113B">
          <w:rPr>
            <w:rStyle w:val="Hyperlink"/>
            <w:rFonts w:ascii="Century Gothic" w:eastAsia="Arial" w:hAnsi="Century Gothic"/>
            <w:sz w:val="24"/>
            <w:szCs w:val="24"/>
          </w:rPr>
          <w:t>Addendum to their ‘Cross-Laminated Timber (CLT) Layup Tests Using Western Wood Products Association (WWPA) White fir Species Group’</w:t>
        </w:r>
      </w:hyperlink>
      <w:r w:rsidRPr="00E6113B">
        <w:rPr>
          <w:rFonts w:ascii="Century Gothic" w:eastAsia="Arial" w:hAnsi="Century Gothic"/>
          <w:sz w:val="24"/>
          <w:szCs w:val="24"/>
        </w:rPr>
        <w:t xml:space="preserve"> report. The Addendum was approved by the Board and added online to the initial report in March 2023. It highlights the comparisons of white-fir CLT to that of the design values used within the CLT standard (PRG-320). Findings show that white-fir can meet the PRG-320 standard and is a viable option for CLT. Next steps will include a manufacturer going through the certification process to make white fir panels before white fir can be used within a structure.</w:t>
      </w:r>
    </w:p>
    <w:bookmarkEnd w:id="4"/>
    <w:p w14:paraId="1D26BE62" w14:textId="77777777" w:rsidR="00BD6A2E" w:rsidRPr="00E6113B" w:rsidRDefault="00BD6A2E" w:rsidP="00BD6A2E">
      <w:pPr>
        <w:rPr>
          <w:rFonts w:ascii="Century Gothic" w:eastAsia="Arial" w:hAnsi="Century Gothic"/>
          <w:sz w:val="24"/>
          <w:szCs w:val="24"/>
        </w:rPr>
      </w:pPr>
    </w:p>
    <w:p w14:paraId="72628027"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Six research projects are currently underway with the Institute:  </w:t>
      </w:r>
    </w:p>
    <w:p w14:paraId="47DB4E1B" w14:textId="77777777" w:rsidR="00BD6A2E" w:rsidRPr="00E6113B" w:rsidRDefault="00BD6A2E" w:rsidP="00BD6A2E">
      <w:pPr>
        <w:rPr>
          <w:rFonts w:ascii="Century Gothic" w:eastAsia="Arial" w:hAnsi="Century Gothic"/>
          <w:sz w:val="24"/>
          <w:szCs w:val="24"/>
        </w:rPr>
      </w:pPr>
    </w:p>
    <w:p w14:paraId="4350380D"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Oregon State University is leading a project on ‘Measuring Transport Properties for Concrete Containing Cellulose Nanocrystals: Porosity, Resistivity, and Chloride Ingress.’  </w:t>
      </w:r>
      <w:r w:rsidRPr="00E6113B">
        <w:rPr>
          <w:rFonts w:ascii="Century Gothic" w:eastAsia="Arial" w:hAnsi="Century Gothic"/>
          <w:bCs/>
          <w:sz w:val="24"/>
          <w:szCs w:val="24"/>
        </w:rPr>
        <w:t xml:space="preserve">This project is assessing the influence of CNCs on the service life of steel in concrete elements to extend </w:t>
      </w:r>
      <w:r w:rsidRPr="00E6113B">
        <w:rPr>
          <w:rFonts w:ascii="Century Gothic" w:eastAsia="Arial" w:hAnsi="Century Gothic"/>
          <w:bCs/>
          <w:sz w:val="24"/>
          <w:szCs w:val="24"/>
        </w:rPr>
        <w:lastRenderedPageBreak/>
        <w:t>the time to onset of reinforcing steel corrosion</w:t>
      </w:r>
      <w:r w:rsidRPr="00E6113B">
        <w:rPr>
          <w:rFonts w:ascii="Century Gothic" w:eastAsia="Arial" w:hAnsi="Century Gothic"/>
          <w:sz w:val="24"/>
          <w:szCs w:val="24"/>
        </w:rPr>
        <w:t xml:space="preserve">. The final report is expected March 2024. </w:t>
      </w:r>
    </w:p>
    <w:p w14:paraId="7783272E" w14:textId="77777777" w:rsidR="00BD6A2E" w:rsidRPr="00E6113B" w:rsidRDefault="00BD6A2E" w:rsidP="00BD6A2E">
      <w:pPr>
        <w:rPr>
          <w:rFonts w:ascii="Century Gothic" w:eastAsia="Arial" w:hAnsi="Century Gothic"/>
          <w:sz w:val="24"/>
          <w:szCs w:val="24"/>
        </w:rPr>
      </w:pPr>
    </w:p>
    <w:p w14:paraId="7D8315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The TallWood Design Institute at Oregon State University is leading a project on ‘Mixed-Species Cross-Laminated Timber Layup Tests Using Western Wood Products Association White fir Species Group.’ This study is assessing the feasibility of mixed species CLT, using white fir and Douglas-fir, to help incentivize industry who may be interested in establishing a CLT facility in California. The final report is expected March 2024.</w:t>
      </w:r>
    </w:p>
    <w:p w14:paraId="28DB0C30" w14:textId="77777777" w:rsidR="00BD6A2E" w:rsidRPr="00E6113B" w:rsidRDefault="00BD6A2E" w:rsidP="00BD6A2E">
      <w:pPr>
        <w:rPr>
          <w:rFonts w:ascii="Century Gothic" w:eastAsia="Arial" w:hAnsi="Century Gothic"/>
          <w:sz w:val="24"/>
          <w:szCs w:val="24"/>
        </w:rPr>
      </w:pPr>
    </w:p>
    <w:p w14:paraId="766F497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bCs/>
          <w:sz w:val="24"/>
          <w:szCs w:val="24"/>
        </w:rPr>
        <w:t>UC Berkeley is leading a project on ‘</w:t>
      </w:r>
      <w:r w:rsidRPr="00E6113B">
        <w:rPr>
          <w:rFonts w:ascii="Century Gothic" w:eastAsia="Arial" w:hAnsi="Century Gothic"/>
          <w:sz w:val="24"/>
          <w:szCs w:val="24"/>
        </w:rPr>
        <w:t>Procurement of Forest-Derived Renewable Natural Gas to Meet California Public Utility Commission Targets</w:t>
      </w:r>
      <w:r w:rsidRPr="00E6113B">
        <w:rPr>
          <w:rFonts w:ascii="Century Gothic" w:eastAsia="Arial" w:hAnsi="Century Gothic"/>
          <w:bCs/>
          <w:sz w:val="24"/>
          <w:szCs w:val="24"/>
        </w:rPr>
        <w:t>.’ This report will provide</w:t>
      </w:r>
      <w:r w:rsidRPr="00E6113B">
        <w:rPr>
          <w:rFonts w:ascii="Century Gothic" w:eastAsia="Arial" w:hAnsi="Century Gothic"/>
          <w:sz w:val="24"/>
          <w:szCs w:val="24"/>
        </w:rPr>
        <w:t xml:space="preserve"> recommendations to the CA Public Utilities Commission and state’s investor-owned utilities regarding procurement of biomethane from forest biomass. </w:t>
      </w:r>
      <w:r w:rsidRPr="00E6113B">
        <w:rPr>
          <w:rFonts w:ascii="Century Gothic" w:eastAsia="Arial" w:hAnsi="Century Gothic"/>
          <w:bCs/>
          <w:sz w:val="24"/>
          <w:szCs w:val="24"/>
        </w:rPr>
        <w:t>The final report is expected March 2024.</w:t>
      </w:r>
    </w:p>
    <w:p w14:paraId="2661D3F0" w14:textId="77777777" w:rsidR="00BD6A2E" w:rsidRPr="00E6113B" w:rsidRDefault="00BD6A2E" w:rsidP="00BD6A2E">
      <w:pPr>
        <w:rPr>
          <w:rFonts w:ascii="Century Gothic" w:eastAsia="Arial" w:hAnsi="Century Gothic"/>
          <w:sz w:val="24"/>
          <w:szCs w:val="24"/>
        </w:rPr>
      </w:pPr>
    </w:p>
    <w:p w14:paraId="120C6E24"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The Institute is interested in ensuring that forest health and fuel reduction projects that provide long-term GHG benefits are explicitly supported. The draft amendment in the Recommendations document, as well as alternative language, will be analyzed for potential benefits to achieving the State’s goals as well as any drawbacks or potential unintended consequences of implementation of this recommendation. The final report is anticipated September 2024. </w:t>
      </w:r>
    </w:p>
    <w:p w14:paraId="01EA074A" w14:textId="77777777" w:rsidR="00BD6A2E" w:rsidRPr="00E6113B" w:rsidRDefault="00BD6A2E" w:rsidP="00BD6A2E">
      <w:pPr>
        <w:rPr>
          <w:rFonts w:ascii="Century Gothic" w:eastAsia="Arial" w:hAnsi="Century Gothic"/>
          <w:sz w:val="24"/>
          <w:szCs w:val="24"/>
        </w:rPr>
      </w:pPr>
    </w:p>
    <w:p w14:paraId="0A265BCE"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TSS Consultants is leading a project on ‘Assessment of State Purchasing Protocols Related to Innovative Wood Products.’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The final report is anticipated December 2024.</w:t>
      </w:r>
    </w:p>
    <w:p w14:paraId="7C9CB0F8" w14:textId="77777777" w:rsidR="00BD6A2E" w:rsidRPr="00E6113B" w:rsidRDefault="00BD6A2E" w:rsidP="00BD6A2E">
      <w:pPr>
        <w:rPr>
          <w:rFonts w:ascii="Century Gothic" w:eastAsia="Arial" w:hAnsi="Century Gothic"/>
          <w:b/>
          <w:bCs/>
          <w:sz w:val="24"/>
          <w:szCs w:val="24"/>
        </w:rPr>
      </w:pPr>
    </w:p>
    <w:p w14:paraId="223E27B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 The final report is anticipated December 2024.</w:t>
      </w:r>
    </w:p>
    <w:p w14:paraId="4585D445" w14:textId="77777777" w:rsidR="00BD6A2E" w:rsidRPr="00E6113B" w:rsidRDefault="00BD6A2E" w:rsidP="00BD6A2E">
      <w:pPr>
        <w:rPr>
          <w:rFonts w:ascii="Century Gothic" w:eastAsia="Arial" w:hAnsi="Century Gothic"/>
          <w:bCs/>
          <w:sz w:val="24"/>
          <w:szCs w:val="24"/>
        </w:rPr>
      </w:pPr>
    </w:p>
    <w:p w14:paraId="3A2D3787" w14:textId="70481C40" w:rsidR="00BD6A2E" w:rsidRPr="00E6113B" w:rsidRDefault="00BD6A2E" w:rsidP="00BD6A2E">
      <w:pPr>
        <w:rPr>
          <w:rFonts w:ascii="Century Gothic" w:eastAsia="Arial" w:hAnsi="Century Gothic"/>
          <w:bCs/>
          <w:sz w:val="24"/>
          <w:szCs w:val="24"/>
        </w:rPr>
      </w:pPr>
      <w:r w:rsidRPr="00E6113B">
        <w:rPr>
          <w:rFonts w:ascii="Century Gothic" w:eastAsia="Arial" w:hAnsi="Century Gothic"/>
          <w:bCs/>
          <w:sz w:val="24"/>
          <w:szCs w:val="24"/>
        </w:rPr>
        <w:t>The Institute is pursuing two projects for fiscal year 2023/34</w:t>
      </w:r>
      <w:r w:rsidR="00056BA9">
        <w:rPr>
          <w:rFonts w:ascii="Century Gothic" w:eastAsia="Arial" w:hAnsi="Century Gothic"/>
          <w:bCs/>
          <w:sz w:val="24"/>
          <w:szCs w:val="24"/>
        </w:rPr>
        <w:t>:</w:t>
      </w:r>
      <w:r w:rsidRPr="00E6113B">
        <w:rPr>
          <w:rFonts w:ascii="Century Gothic" w:eastAsia="Arial" w:hAnsi="Century Gothic"/>
          <w:bCs/>
          <w:sz w:val="24"/>
          <w:szCs w:val="24"/>
        </w:rPr>
        <w:t xml:space="preserve">  </w:t>
      </w:r>
    </w:p>
    <w:p w14:paraId="73B8156D" w14:textId="77777777" w:rsidR="00BD6A2E" w:rsidRPr="00E6113B" w:rsidRDefault="00BD6A2E" w:rsidP="00BD6A2E">
      <w:pPr>
        <w:rPr>
          <w:rFonts w:ascii="Century Gothic" w:eastAsia="Arial" w:hAnsi="Century Gothic"/>
          <w:bCs/>
          <w:sz w:val="24"/>
          <w:szCs w:val="24"/>
        </w:rPr>
      </w:pPr>
    </w:p>
    <w:p w14:paraId="781AD933" w14:textId="77777777" w:rsidR="00BD6A2E" w:rsidRPr="00E6113B" w:rsidRDefault="00BD6A2E" w:rsidP="00BD6A2E">
      <w:pPr>
        <w:rPr>
          <w:rFonts w:ascii="Century Gothic" w:eastAsia="Arial" w:hAnsi="Century Gothic"/>
          <w:b/>
          <w:bCs/>
          <w:sz w:val="24"/>
          <w:szCs w:val="24"/>
        </w:rPr>
      </w:pPr>
      <w:r w:rsidRPr="00E6113B">
        <w:rPr>
          <w:rFonts w:ascii="Century Gothic" w:eastAsia="Arial" w:hAnsi="Century Gothic"/>
          <w:sz w:val="24"/>
          <w:szCs w:val="24"/>
        </w:rPr>
        <w:t>A ‘Mountain Community Affordable Workforce Housing with Mass Timber Components’</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 xml:space="preserve">project will develop affordable workforce housing designs that will fit the needs of mountain </w:t>
      </w:r>
      <w:r w:rsidRPr="00E6113B">
        <w:rPr>
          <w:rFonts w:ascii="Century Gothic" w:eastAsia="Arial" w:hAnsi="Century Gothic"/>
          <w:sz w:val="24"/>
          <w:szCs w:val="24"/>
        </w:rPr>
        <w:lastRenderedPageBreak/>
        <w:t xml:space="preserve">community workforces. Designs will include mass timber elements and they will be designed to be permitted in the areas for which they are intended.  </w:t>
      </w:r>
    </w:p>
    <w:p w14:paraId="390B7B3B" w14:textId="77777777" w:rsidR="00BD6A2E" w:rsidRPr="00E6113B" w:rsidRDefault="00BD6A2E" w:rsidP="00BD6A2E">
      <w:pPr>
        <w:rPr>
          <w:rFonts w:ascii="Century Gothic" w:eastAsia="Arial" w:hAnsi="Century Gothic"/>
          <w:b/>
          <w:bCs/>
          <w:sz w:val="24"/>
          <w:szCs w:val="24"/>
        </w:rPr>
      </w:pPr>
    </w:p>
    <w:p w14:paraId="08834A19"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A</w:t>
      </w:r>
      <w:r w:rsidRPr="00E6113B">
        <w:rPr>
          <w:rFonts w:ascii="Century Gothic" w:eastAsia="Arial" w:hAnsi="Century Gothic"/>
          <w:b/>
          <w:bCs/>
          <w:sz w:val="24"/>
          <w:szCs w:val="24"/>
        </w:rPr>
        <w:t xml:space="preserve"> ‘</w:t>
      </w:r>
      <w:r w:rsidRPr="00E6113B">
        <w:rPr>
          <w:rFonts w:ascii="Century Gothic" w:eastAsia="Arial" w:hAnsi="Century Gothic"/>
          <w:sz w:val="24"/>
          <w:szCs w:val="24"/>
        </w:rPr>
        <w:t>Supporting California Forest Restoration Through Forest Industry Infrastructure Retention and Development – Capacity Assessment and Needs Analysis by CALVEG Sub-Region’ project will characterize current industry infrastructure by CALVEG sub-region and by volume and type of supply necessary to retain and sustain industry infrastructure needed to accomplish relevant California Wildfire and Forest Resilience Task Force goals.</w:t>
      </w:r>
    </w:p>
    <w:p w14:paraId="2FBE5562" w14:textId="77777777" w:rsidR="00BD6A2E" w:rsidRPr="00E6113B" w:rsidRDefault="00BD6A2E" w:rsidP="00BD6A2E">
      <w:pPr>
        <w:rPr>
          <w:rFonts w:ascii="Century Gothic" w:eastAsia="Arial" w:hAnsi="Century Gothic"/>
          <w:bCs/>
          <w:sz w:val="24"/>
          <w:szCs w:val="24"/>
        </w:rPr>
      </w:pPr>
    </w:p>
    <w:p w14:paraId="33DE6233" w14:textId="77777777" w:rsidR="00BD6A2E" w:rsidRPr="00E6113B" w:rsidRDefault="00BD6A2E" w:rsidP="00BD6A2E">
      <w:pPr>
        <w:rPr>
          <w:rFonts w:ascii="Century Gothic" w:eastAsia="Arial" w:hAnsi="Century Gothic"/>
          <w:sz w:val="24"/>
          <w:szCs w:val="24"/>
        </w:rPr>
      </w:pPr>
      <w:r w:rsidRPr="00E6113B">
        <w:rPr>
          <w:rFonts w:ascii="Century Gothic" w:eastAsia="Arial" w:hAnsi="Century Gothic"/>
          <w:sz w:val="24"/>
          <w:szCs w:val="24"/>
        </w:rPr>
        <w:t>In addition to research, the Institute is also the Sustainable Wood Products Work Group Lead for the Wildfire and Forest Resilience Task Force.</w:t>
      </w:r>
    </w:p>
    <w:p w14:paraId="1F40043F" w14:textId="6E815C20" w:rsidR="00BC0FDD" w:rsidRPr="00E6113B" w:rsidRDefault="003B083F" w:rsidP="00F3046E">
      <w:pPr>
        <w:pStyle w:val="Heading1"/>
      </w:pPr>
      <w:bookmarkStart w:id="5" w:name="_Toc89188547"/>
      <w:bookmarkStart w:id="6" w:name="_Toc169083970"/>
      <w:r w:rsidRPr="00E6113B">
        <w:t xml:space="preserve">Chaptered Legislation </w:t>
      </w:r>
      <w:r w:rsidR="002B3A4D" w:rsidRPr="00E6113B">
        <w:t>with Future Regulatory Action by the Board</w:t>
      </w:r>
      <w:bookmarkEnd w:id="5"/>
      <w:bookmarkEnd w:id="6"/>
    </w:p>
    <w:p w14:paraId="24E3BD29" w14:textId="68950FBA" w:rsidR="00C167FF"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sectPr w:rsidR="00C167FF"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entury Gothic"/>
          <w:b/>
          <w:bCs/>
          <w:color w:val="000000"/>
          <w:sz w:val="24"/>
          <w:szCs w:val="24"/>
        </w:rPr>
        <w:t xml:space="preserve">AB </w:t>
      </w:r>
      <w:r w:rsidR="00337335" w:rsidRPr="00E6113B">
        <w:rPr>
          <w:rFonts w:ascii="Century Gothic" w:hAnsi="Century Gothic" w:cs="Century Gothic"/>
          <w:b/>
          <w:bCs/>
          <w:color w:val="000000"/>
          <w:sz w:val="24"/>
          <w:szCs w:val="24"/>
        </w:rPr>
        <w:t xml:space="preserve">1526 </w:t>
      </w:r>
      <w:r w:rsidRPr="00E6113B">
        <w:rPr>
          <w:rFonts w:ascii="Century Gothic" w:hAnsi="Century Gothic" w:cs="Century Gothic"/>
          <w:b/>
          <w:bCs/>
          <w:color w:val="000000"/>
          <w:sz w:val="24"/>
          <w:szCs w:val="24"/>
        </w:rPr>
        <w:t xml:space="preserve">Forestry: </w:t>
      </w:r>
      <w:r w:rsidR="00337335" w:rsidRPr="00E6113B">
        <w:rPr>
          <w:rFonts w:ascii="Century Gothic" w:hAnsi="Century Gothic" w:cs="Century Gothic"/>
          <w:b/>
          <w:bCs/>
          <w:color w:val="000000"/>
          <w:sz w:val="24"/>
          <w:szCs w:val="24"/>
        </w:rPr>
        <w:t>Committee on Natural Resources. Public resources.</w:t>
      </w:r>
    </w:p>
    <w:p w14:paraId="205E4BE5" w14:textId="54F1F74D" w:rsidR="00D768A8" w:rsidRPr="00E6113B" w:rsidRDefault="00D768A8" w:rsidP="00D768A8">
      <w:pPr>
        <w:widowControl/>
        <w:autoSpaceDE w:val="0"/>
        <w:autoSpaceDN w:val="0"/>
        <w:adjustRightInd w:val="0"/>
        <w:ind w:left="720" w:firstLine="720"/>
        <w:rPr>
          <w:rFonts w:ascii="Century Gothic" w:hAnsi="Century Gothic" w:cs="Century Gothic"/>
          <w:b/>
          <w:bCs/>
          <w:color w:val="000000"/>
          <w:sz w:val="24"/>
          <w:szCs w:val="24"/>
        </w:rPr>
      </w:pPr>
    </w:p>
    <w:p w14:paraId="450DF07A" w14:textId="5E91CA18" w:rsidR="00C167FF" w:rsidRPr="00E6113B" w:rsidRDefault="00337335" w:rsidP="00C167FF">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The Z’berg-Nejedly Forest Practice Act of 1973 prohibits a person from conducting timber operations, as defined, unless a timber harvesting plan prepared by a registered professional forester has been submitted to the Department of Forestry and Fire Protection. The act authorizes the State Board of Forestry and Fire Protection to exempt from some or all of those provisions of the act a person engaging in specified forest management activities, as prescribed, including the one-time conversion of less than three acres to a nontimber use, as specified.</w:t>
      </w:r>
    </w:p>
    <w:p w14:paraId="3B2BEAA3" w14:textId="77777777" w:rsidR="00D768A8" w:rsidRPr="00E6113B" w:rsidRDefault="00D768A8" w:rsidP="00D768A8">
      <w:pPr>
        <w:widowControl/>
        <w:autoSpaceDE w:val="0"/>
        <w:autoSpaceDN w:val="0"/>
        <w:adjustRightInd w:val="0"/>
        <w:rPr>
          <w:rFonts w:ascii="Century Gothic" w:hAnsi="Century Gothic" w:cs="Century Gothic"/>
          <w:color w:val="000000"/>
          <w:sz w:val="24"/>
          <w:szCs w:val="24"/>
        </w:rPr>
      </w:pPr>
    </w:p>
    <w:p w14:paraId="05E96551" w14:textId="77777777" w:rsidR="00337335" w:rsidRPr="00E6113B" w:rsidRDefault="00337335" w:rsidP="0033733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This bill would authorize the Board to allow a waiver of the one-time limitation. </w:t>
      </w:r>
    </w:p>
    <w:p w14:paraId="1AB4A41F" w14:textId="3568F515" w:rsidR="00447606" w:rsidRPr="00E6113B" w:rsidRDefault="00447606" w:rsidP="00D10578">
      <w:pPr>
        <w:pStyle w:val="Heading1"/>
      </w:pPr>
      <w:bookmarkStart w:id="7" w:name="_Toc169083971"/>
      <w:bookmarkStart w:id="8" w:name="_Toc89188557"/>
      <w:r w:rsidRPr="00E6113B">
        <w:t>Forest Health Trends</w:t>
      </w:r>
      <w:bookmarkEnd w:id="7"/>
    </w:p>
    <w:p w14:paraId="4EF2A612" w14:textId="3EB757EB" w:rsidR="004F59B1" w:rsidRPr="00D10578" w:rsidRDefault="00BB7156" w:rsidP="00D117EE">
      <w:pPr>
        <w:pStyle w:val="Heading2"/>
        <w:ind w:left="0"/>
      </w:pPr>
      <w:bookmarkStart w:id="9" w:name="_Toc169083972"/>
      <w:r w:rsidRPr="00D10578">
        <w:t>Monitoring Efforts</w:t>
      </w:r>
      <w:bookmarkEnd w:id="8"/>
      <w:bookmarkEnd w:id="9"/>
    </w:p>
    <w:p w14:paraId="790050DC" w14:textId="77777777" w:rsidR="005A75A3" w:rsidRDefault="005A75A3" w:rsidP="005A75A3">
      <w:pPr>
        <w:pStyle w:val="BodyText"/>
      </w:pPr>
      <w:bookmarkStart w:id="10" w:name="_Hlk22291251"/>
      <w:r>
        <w:t xml:space="preserve">Programmatic monitoring of the Forest Practice Rules (FPRs) on private and public forestlands has shown generally high compliance with water-quality related rules, and that those rules are generally effective in preventing erosion and sedimentation when properly implemented (FORPRIEM, 2014). Additionally, since the passage of SB 901 in 2018, CAL FIRE has been engaged in the monitoring and reporting on of ministerial Exemptions and Emergency Notices. To date, CAL FIRE has released legislative reports on the following: the §1052 Emergency Notice of Timber Operations (Olsen et al., 2019); §1038(c) Structure Protection 0-150 Foot Fire Safe Exemption Notices (Olsen and Coe, 2021); §1038(c)(6) Fire Hazard Reduction Within 300 Feet of Residences Exemption Notices (Olsen and Coe, 2021); and the §1038.3 Forest Fire Prevention Exemption Notice (Olsen et al., 2022).  The second phase of post-fire §1052 Emergency Notice of Timber Operations monitoring has been completed, and results will be presented in California Forestry Report #8 (Olsen et al., in prep).  </w:t>
      </w:r>
    </w:p>
    <w:p w14:paraId="1C2B067A" w14:textId="77777777" w:rsidR="005A75A3" w:rsidRDefault="005A75A3" w:rsidP="005A75A3">
      <w:pPr>
        <w:pStyle w:val="BodyText"/>
      </w:pPr>
    </w:p>
    <w:p w14:paraId="78F869BF" w14:textId="39A44838" w:rsidR="00DF3195" w:rsidRDefault="005A75A3" w:rsidP="005A75A3">
      <w:pPr>
        <w:pStyle w:val="BodyText"/>
      </w:pPr>
      <w:r>
        <w:lastRenderedPageBreak/>
        <w:t xml:space="preserve">In addition to programmatic monitoring, CAL FIRE implements and coordinates research grade effectiveness monitoring.  Examples of this includes the collaborative research partnership between CAL FIRE and the USFS Pacific Southwest Research Station on Jackson Demonstration State Forest’s Caspar Creek watersheds, which has been active since 1962.  Also, post-fire salvage logging-related research conducted on the Boggs Mountain Demonstration State Forest following the 2015 Valley Fire resulted in several published manuscripts, as well as the generation of the world’s first guidance document on how to reduce water quality impacts from post-fire salvage logging (California Forestry Report #7; Wagenbrenner et al., 2023).  Monitoring and research conducted by the Effectiveness Monitoring Committee has resulted in FPR rule refinement related to the Anadromous Salmonid Protection Rules riparian prescriptions for Class II watercourses (Pate et al., 2020).  </w:t>
      </w:r>
    </w:p>
    <w:p w14:paraId="5974E9A7" w14:textId="77777777" w:rsidR="005A75A3" w:rsidRPr="00E6113B" w:rsidRDefault="005A75A3" w:rsidP="005A75A3">
      <w:pPr>
        <w:pStyle w:val="BodyText"/>
      </w:pPr>
    </w:p>
    <w:p w14:paraId="7AFB47C6" w14:textId="77777777" w:rsidR="00D26605" w:rsidRPr="00E6113B" w:rsidRDefault="00D26605" w:rsidP="002C25AE">
      <w:pPr>
        <w:pStyle w:val="Heading2"/>
        <w:ind w:left="0"/>
        <w:sectPr w:rsidR="00D26605" w:rsidRPr="00E6113B" w:rsidSect="004E4589">
          <w:headerReference w:type="even" r:id="rId32"/>
          <w:headerReference w:type="default" r:id="rId33"/>
          <w:headerReference w:type="first" r:id="rId34"/>
          <w:footnotePr>
            <w:pos w:val="beneathText"/>
          </w:footnotePr>
          <w:type w:val="continuous"/>
          <w:pgSz w:w="12240" w:h="15840"/>
          <w:pgMar w:top="1440" w:right="720" w:bottom="1440" w:left="720" w:header="736" w:footer="1048" w:gutter="0"/>
          <w:cols w:space="720"/>
          <w:docGrid w:linePitch="299"/>
        </w:sectPr>
      </w:pPr>
      <w:bookmarkStart w:id="11" w:name="_Toc169083973"/>
      <w:r w:rsidRPr="00E6113B">
        <w:t>Pest Conditions</w:t>
      </w:r>
      <w:bookmarkEnd w:id="11"/>
    </w:p>
    <w:p w14:paraId="656E1976" w14:textId="57BE5E1E" w:rsidR="00E123D3" w:rsidRPr="00E6113B" w:rsidRDefault="00E123D3" w:rsidP="0035278F">
      <w:pPr>
        <w:pStyle w:val="BodyText"/>
      </w:pPr>
    </w:p>
    <w:bookmarkEnd w:id="10"/>
    <w:p w14:paraId="4BF24B09" w14:textId="77777777" w:rsidR="00A744B6" w:rsidRPr="00E6113B" w:rsidRDefault="00D26605" w:rsidP="00D26605">
      <w:pPr>
        <w:widowControl/>
        <w:rPr>
          <w:rFonts w:ascii="Century Gothic" w:hAnsi="Century Gothic" w:cs="Arial"/>
          <w:bCs/>
          <w:iCs/>
          <w:sz w:val="24"/>
          <w:szCs w:val="24"/>
        </w:rPr>
        <w:sectPr w:rsidR="00A744B6"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Arial"/>
          <w:bCs/>
          <w:iCs/>
          <w:sz w:val="24"/>
          <w:szCs w:val="24"/>
        </w:rPr>
        <w:t xml:space="preserve">The following is a summary of notable insect, disease, and forest health issues that continue to threaten and alter urban and wildland forests in California in 2023.  Forest pest conditions can change dramatically from year to year.  For a summary of forest pests and diseases, see the </w:t>
      </w:r>
      <w:hyperlink r:id="rId35" w:history="1">
        <w:r w:rsidRPr="00E6113B">
          <w:rPr>
            <w:rStyle w:val="Hyperlink"/>
            <w:rFonts w:ascii="Century Gothic" w:hAnsi="Century Gothic" w:cs="Arial"/>
            <w:bCs/>
            <w:iCs/>
            <w:sz w:val="24"/>
            <w:szCs w:val="24"/>
          </w:rPr>
          <w:t>2022 California Forest Pest Conditions Report</w:t>
        </w:r>
      </w:hyperlink>
      <w:r w:rsidRPr="00E6113B">
        <w:rPr>
          <w:rFonts w:ascii="Century Gothic" w:hAnsi="Century Gothic" w:cs="Arial"/>
          <w:bCs/>
          <w:iCs/>
          <w:sz w:val="24"/>
          <w:szCs w:val="24"/>
        </w:rPr>
        <w:t xml:space="preserve">.  The 2023 California Forest Pest Conditions Report will be available on the </w:t>
      </w:r>
      <w:hyperlink r:id="rId36" w:history="1">
        <w:r w:rsidRPr="00E6113B">
          <w:rPr>
            <w:rStyle w:val="Hyperlink"/>
            <w:rFonts w:ascii="Century Gothic" w:hAnsi="Century Gothic" w:cs="Arial"/>
            <w:bCs/>
            <w:iCs/>
            <w:sz w:val="24"/>
            <w:szCs w:val="24"/>
          </w:rPr>
          <w:t>California Forest Pest Council website</w:t>
        </w:r>
      </w:hyperlink>
      <w:r w:rsidRPr="00E6113B">
        <w:rPr>
          <w:rFonts w:ascii="Century Gothic" w:hAnsi="Century Gothic" w:cs="Arial"/>
          <w:bCs/>
          <w:iCs/>
          <w:sz w:val="24"/>
          <w:szCs w:val="24"/>
        </w:rPr>
        <w:t xml:space="preserve"> in early 2024.</w:t>
      </w:r>
    </w:p>
    <w:p w14:paraId="4CDEB936" w14:textId="77777777" w:rsidR="00D26605" w:rsidRPr="00E6113B" w:rsidRDefault="00D26605" w:rsidP="00D26605">
      <w:pPr>
        <w:widowControl/>
        <w:rPr>
          <w:rFonts w:ascii="Century Gothic" w:hAnsi="Century Gothic" w:cs="Arial"/>
          <w:bCs/>
          <w:iCs/>
          <w:sz w:val="24"/>
          <w:szCs w:val="24"/>
        </w:rPr>
      </w:pPr>
    </w:p>
    <w:p w14:paraId="17742D8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Invasive Shot Hole Borer (ISHB)</w:t>
      </w:r>
    </w:p>
    <w:p w14:paraId="5F025C04" w14:textId="77777777" w:rsidR="00D26605" w:rsidRPr="00E6113B" w:rsidRDefault="00D26605" w:rsidP="00D26605">
      <w:pPr>
        <w:widowControl/>
        <w:rPr>
          <w:rFonts w:ascii="Century Gothic" w:hAnsi="Century Gothic" w:cs="Arial"/>
          <w:b/>
          <w:iCs/>
          <w:sz w:val="24"/>
          <w:szCs w:val="24"/>
        </w:rPr>
      </w:pPr>
    </w:p>
    <w:p w14:paraId="7891017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Polyphagous shot hole borer (PSHB; </w:t>
      </w:r>
      <w:r w:rsidRPr="00E6113B">
        <w:rPr>
          <w:rFonts w:ascii="Century Gothic" w:hAnsi="Century Gothic" w:cs="Arial"/>
          <w:bCs/>
          <w:i/>
          <w:iCs/>
          <w:sz w:val="24"/>
          <w:szCs w:val="24"/>
        </w:rPr>
        <w:t>Euwallacea formicatus</w:t>
      </w:r>
      <w:r w:rsidRPr="00E6113B">
        <w:rPr>
          <w:rFonts w:ascii="Century Gothic" w:hAnsi="Century Gothic" w:cs="Arial"/>
          <w:bCs/>
          <w:iCs/>
          <w:sz w:val="24"/>
          <w:szCs w:val="24"/>
        </w:rPr>
        <w:t xml:space="preserve">) is established in Los Angeles, Orange, Riverside, San Bernardino, San Diego, and Ventura Counties. Kuroshio shot hole borer (KSHB; </w:t>
      </w:r>
      <w:r w:rsidRPr="00E6113B">
        <w:rPr>
          <w:rFonts w:ascii="Century Gothic" w:hAnsi="Century Gothic" w:cs="Arial"/>
          <w:bCs/>
          <w:i/>
          <w:iCs/>
          <w:sz w:val="24"/>
          <w:szCs w:val="24"/>
        </w:rPr>
        <w:t>E. kuroshio</w:t>
      </w:r>
      <w:r w:rsidRPr="00E6113B">
        <w:rPr>
          <w:rFonts w:ascii="Century Gothic" w:hAnsi="Century Gothic" w:cs="Arial"/>
          <w:bCs/>
          <w:iCs/>
          <w:sz w:val="24"/>
          <w:szCs w:val="24"/>
        </w:rPr>
        <w:t xml:space="preserve">) is established in Los Angeles, Orange, Santa Barbara, San Diego, and Riverside Counties.  KSHB was found in a San Luis Obispo County trap once in 2020. While no infestations have been found in the landscape there to date, trapping and surveying continues in high-risk locations throughout the county.  PSHB and KSHB, together known as ISHB, are associated with several fungi, including species of </w:t>
      </w:r>
      <w:r w:rsidRPr="00E6113B">
        <w:rPr>
          <w:rFonts w:ascii="Century Gothic" w:hAnsi="Century Gothic" w:cs="Arial"/>
          <w:bCs/>
          <w:i/>
          <w:iCs/>
          <w:sz w:val="24"/>
          <w:szCs w:val="24"/>
        </w:rPr>
        <w:t>Fusarium</w:t>
      </w:r>
      <w:r w:rsidRPr="00E6113B">
        <w:rPr>
          <w:rFonts w:ascii="Century Gothic" w:hAnsi="Century Gothic" w:cs="Arial"/>
          <w:bCs/>
          <w:iCs/>
          <w:sz w:val="24"/>
          <w:szCs w:val="24"/>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will continue to determine if there is an infestation there.  Reports from other countries that have been infested with ISHB (Israel, Australia, and South Africa) indicate that the pest complexes may be detrimental to a number of fruit and nut crops as well as forest and shade tree species.</w:t>
      </w:r>
    </w:p>
    <w:p w14:paraId="6DF1D6F1" w14:textId="77777777" w:rsidR="00D26605" w:rsidRPr="00E6113B" w:rsidRDefault="00D26605" w:rsidP="00D26605">
      <w:pPr>
        <w:widowControl/>
        <w:rPr>
          <w:rFonts w:ascii="Century Gothic" w:hAnsi="Century Gothic" w:cs="Arial"/>
          <w:b/>
          <w:iCs/>
          <w:sz w:val="24"/>
          <w:szCs w:val="24"/>
        </w:rPr>
      </w:pPr>
    </w:p>
    <w:p w14:paraId="4B818AA9" w14:textId="77777777" w:rsidR="00141E4D" w:rsidRDefault="00141E4D">
      <w:pPr>
        <w:widowControl/>
        <w:rPr>
          <w:rFonts w:ascii="Century Gothic" w:hAnsi="Century Gothic" w:cs="Arial"/>
          <w:b/>
          <w:iCs/>
          <w:sz w:val="24"/>
          <w:szCs w:val="24"/>
        </w:rPr>
      </w:pPr>
      <w:r>
        <w:rPr>
          <w:rFonts w:ascii="Century Gothic" w:hAnsi="Century Gothic" w:cs="Arial"/>
          <w:b/>
          <w:iCs/>
          <w:sz w:val="24"/>
          <w:szCs w:val="24"/>
        </w:rPr>
        <w:br w:type="page"/>
      </w:r>
    </w:p>
    <w:p w14:paraId="71CFDC0D" w14:textId="2BCBFBA4" w:rsidR="00D26605" w:rsidRPr="00E6113B" w:rsidRDefault="00D26605" w:rsidP="00D26605">
      <w:pPr>
        <w:widowControl/>
        <w:rPr>
          <w:rFonts w:ascii="Century Gothic" w:hAnsi="Century Gothic" w:cs="Arial"/>
          <w:b/>
          <w:iCs/>
          <w:sz w:val="24"/>
          <w:szCs w:val="24"/>
        </w:rPr>
      </w:pPr>
      <w:proofErr w:type="spellStart"/>
      <w:r w:rsidRPr="00E6113B">
        <w:rPr>
          <w:rFonts w:ascii="Century Gothic" w:hAnsi="Century Gothic" w:cs="Arial"/>
          <w:b/>
          <w:iCs/>
          <w:sz w:val="24"/>
          <w:szCs w:val="24"/>
        </w:rPr>
        <w:lastRenderedPageBreak/>
        <w:t>Goldspotted</w:t>
      </w:r>
      <w:proofErr w:type="spellEnd"/>
      <w:r w:rsidRPr="00E6113B">
        <w:rPr>
          <w:rFonts w:ascii="Century Gothic" w:hAnsi="Century Gothic" w:cs="Arial"/>
          <w:b/>
          <w:iCs/>
          <w:sz w:val="24"/>
          <w:szCs w:val="24"/>
        </w:rPr>
        <w:t xml:space="preserve"> Oak Borer (GSOB)</w:t>
      </w:r>
    </w:p>
    <w:p w14:paraId="4E39CC58" w14:textId="77777777" w:rsidR="00D26605" w:rsidRPr="00E6113B" w:rsidRDefault="00D26605" w:rsidP="00D26605">
      <w:pPr>
        <w:widowControl/>
        <w:rPr>
          <w:rFonts w:ascii="Century Gothic" w:hAnsi="Century Gothic" w:cs="Arial"/>
          <w:b/>
          <w:iCs/>
          <w:sz w:val="24"/>
          <w:szCs w:val="24"/>
        </w:rPr>
      </w:pPr>
    </w:p>
    <w:p w14:paraId="1A611BEB"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GSOB (</w:t>
      </w:r>
      <w:r w:rsidRPr="00E6113B">
        <w:rPr>
          <w:rFonts w:ascii="Century Gothic" w:hAnsi="Century Gothic" w:cs="Arial"/>
          <w:bCs/>
          <w:i/>
          <w:iCs/>
          <w:sz w:val="24"/>
          <w:szCs w:val="24"/>
        </w:rPr>
        <w:t>Agrilus auroguttatus</w:t>
      </w:r>
      <w:r w:rsidRPr="00E6113B">
        <w:rPr>
          <w:rFonts w:ascii="Century Gothic" w:hAnsi="Century Gothic" w:cs="Arial"/>
          <w:bCs/>
          <w:iCs/>
          <w:sz w:val="24"/>
          <w:szCs w:val="24"/>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No new sites have been detected outside of the five-county area.  Surveys, monitoring, and research for the pest are ongoing.  </w:t>
      </w:r>
    </w:p>
    <w:p w14:paraId="1A78D8F2" w14:textId="77777777" w:rsidR="00D26605" w:rsidRPr="00E6113B" w:rsidRDefault="00D26605" w:rsidP="00D26605">
      <w:pPr>
        <w:widowControl/>
        <w:rPr>
          <w:rFonts w:ascii="Century Gothic" w:hAnsi="Century Gothic" w:cs="Arial"/>
          <w:b/>
          <w:iCs/>
          <w:sz w:val="24"/>
          <w:szCs w:val="24"/>
        </w:rPr>
      </w:pPr>
    </w:p>
    <w:p w14:paraId="292775D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Bark Beetles (various species)</w:t>
      </w:r>
    </w:p>
    <w:p w14:paraId="69E055E0" w14:textId="77777777" w:rsidR="00D26605" w:rsidRPr="00E6113B" w:rsidRDefault="00D26605" w:rsidP="00D26605">
      <w:pPr>
        <w:widowControl/>
        <w:rPr>
          <w:rFonts w:ascii="Century Gothic" w:hAnsi="Century Gothic" w:cs="Arial"/>
          <w:b/>
          <w:iCs/>
          <w:sz w:val="24"/>
          <w:szCs w:val="24"/>
        </w:rPr>
      </w:pPr>
    </w:p>
    <w:p w14:paraId="5E4B68F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Conifer-killing bark and engraver beetle populations remain an issue throughout northern and central California as a result of previous drought conditions, overstocking, and climate change.  Most infestations are in the northern and central Sierra Nevada, the northern Coast Range, and counties around Clear Lake, where both Napa and Lake Counties declared tree mortality emergencies.  Stress from the past drought is exacerbating the outbreaks of western pine bark beetle (</w:t>
      </w:r>
      <w:r w:rsidRPr="00E6113B">
        <w:rPr>
          <w:rFonts w:ascii="Century Gothic" w:hAnsi="Century Gothic" w:cs="Arial"/>
          <w:bCs/>
          <w:i/>
          <w:iCs/>
          <w:sz w:val="24"/>
          <w:szCs w:val="24"/>
        </w:rPr>
        <w:t>Dendroctonus brevicomis</w:t>
      </w:r>
      <w:r w:rsidRPr="00E6113B">
        <w:rPr>
          <w:rFonts w:ascii="Century Gothic" w:hAnsi="Century Gothic" w:cs="Arial"/>
          <w:bCs/>
          <w:iCs/>
          <w:sz w:val="24"/>
          <w:szCs w:val="24"/>
        </w:rPr>
        <w:t>) in ponderosa pine and Ips engraver beetles (</w:t>
      </w:r>
      <w:r w:rsidRPr="00E6113B">
        <w:rPr>
          <w:rFonts w:ascii="Century Gothic" w:hAnsi="Century Gothic" w:cs="Arial"/>
          <w:bCs/>
          <w:i/>
          <w:iCs/>
          <w:sz w:val="24"/>
          <w:szCs w:val="24"/>
        </w:rPr>
        <w:t>Ips</w:t>
      </w:r>
      <w:r w:rsidRPr="00E6113B">
        <w:rPr>
          <w:rFonts w:ascii="Century Gothic" w:hAnsi="Century Gothic" w:cs="Arial"/>
          <w:bCs/>
          <w:iCs/>
          <w:sz w:val="24"/>
          <w:szCs w:val="24"/>
        </w:rPr>
        <w:t xml:space="preserve"> spp.) in all pine species, though outbreaks of each diminished in 2023. Fir engraver beetles (</w:t>
      </w:r>
      <w:r w:rsidRPr="00E6113B">
        <w:rPr>
          <w:rFonts w:ascii="Century Gothic" w:hAnsi="Century Gothic" w:cs="Arial"/>
          <w:bCs/>
          <w:i/>
          <w:iCs/>
          <w:sz w:val="24"/>
          <w:szCs w:val="24"/>
        </w:rPr>
        <w:t>Scolytus ventralis</w:t>
      </w:r>
      <w:r w:rsidRPr="00E6113B">
        <w:rPr>
          <w:rFonts w:ascii="Century Gothic" w:hAnsi="Century Gothic" w:cs="Arial"/>
          <w:bCs/>
          <w:iCs/>
          <w:sz w:val="24"/>
          <w:szCs w:val="24"/>
        </w:rPr>
        <w:t>) are causing extensive top kill and mortality in true firs throughout the upper reaches of the Sierra Nevada and were the main bark beetle issue in 2023.  This is the traditional pattern for fir engraver beetles Fir engraver beetles are following the traditional pattern of becoming major outbreaks following a year or two after a pine bark beetle epidemic has diminished.  Although a small Douglas-fir beetle (</w:t>
      </w:r>
      <w:r w:rsidRPr="00E6113B">
        <w:rPr>
          <w:rFonts w:ascii="Century Gothic" w:hAnsi="Century Gothic" w:cs="Arial"/>
          <w:bCs/>
          <w:i/>
          <w:iCs/>
          <w:sz w:val="24"/>
          <w:szCs w:val="24"/>
        </w:rPr>
        <w:t>Dendroctonus pseudotsugae</w:t>
      </w:r>
      <w:r w:rsidRPr="00E6113B">
        <w:rPr>
          <w:rFonts w:ascii="Century Gothic" w:hAnsi="Century Gothic" w:cs="Arial"/>
          <w:bCs/>
          <w:iCs/>
          <w:sz w:val="24"/>
          <w:szCs w:val="24"/>
        </w:rPr>
        <w:t xml:space="preserve">) outbreak occurred on Douglas-fir trees in Jackson Demonstration State Forest and surrounding areas, the main cause of Douglas-fir die-off in the state is the flatheaded fir borer </w:t>
      </w:r>
      <w:r w:rsidRPr="00E6113B">
        <w:rPr>
          <w:rFonts w:ascii="Century Gothic" w:hAnsi="Century Gothic" w:cs="Arial"/>
          <w:bCs/>
          <w:i/>
          <w:iCs/>
          <w:sz w:val="24"/>
          <w:szCs w:val="24"/>
        </w:rPr>
        <w:t>(Phaenops drummondi</w:t>
      </w:r>
      <w:r w:rsidRPr="00E6113B">
        <w:rPr>
          <w:rFonts w:ascii="Century Gothic" w:hAnsi="Century Gothic" w:cs="Arial"/>
          <w:bCs/>
          <w:iCs/>
          <w:sz w:val="24"/>
          <w:szCs w:val="24"/>
        </w:rPr>
        <w:t>), which is causing a significant increase in the number and size of mortality patches throughout the northern half of the state.  In hardwoods, the western oak bark beetle (</w:t>
      </w:r>
      <w:r w:rsidRPr="00E6113B">
        <w:rPr>
          <w:rFonts w:ascii="Century Gothic" w:hAnsi="Century Gothic" w:cs="Arial"/>
          <w:bCs/>
          <w:i/>
          <w:iCs/>
          <w:sz w:val="24"/>
          <w:szCs w:val="24"/>
        </w:rPr>
        <w:t>Pseudopityophthorus pubipennis</w:t>
      </w:r>
      <w:r w:rsidRPr="00E6113B">
        <w:rPr>
          <w:rFonts w:ascii="Century Gothic" w:hAnsi="Century Gothic" w:cs="Arial"/>
          <w:bCs/>
          <w:iCs/>
          <w:sz w:val="24"/>
          <w:szCs w:val="24"/>
        </w:rPr>
        <w:t xml:space="preserve">) continues to infest true oaks around the Central Valley and Coast Range.  Associated foamy bark canker outbreaks have been detected statewide and are particularly bad in the foothills around the Central Valley.  </w:t>
      </w:r>
    </w:p>
    <w:p w14:paraId="0E0779FF" w14:textId="77777777" w:rsidR="00D26605" w:rsidRPr="00E6113B" w:rsidRDefault="00D26605" w:rsidP="00D26605">
      <w:pPr>
        <w:widowControl/>
        <w:rPr>
          <w:rFonts w:ascii="Century Gothic" w:hAnsi="Century Gothic" w:cs="Arial"/>
          <w:b/>
          <w:iCs/>
          <w:sz w:val="24"/>
          <w:szCs w:val="24"/>
        </w:rPr>
      </w:pPr>
    </w:p>
    <w:p w14:paraId="4FDFD512"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Mediterranean Oak Borer (MOB)</w:t>
      </w:r>
    </w:p>
    <w:p w14:paraId="58FDFE89" w14:textId="77777777" w:rsidR="00D26605" w:rsidRPr="00E6113B" w:rsidRDefault="00D26605" w:rsidP="00D26605">
      <w:pPr>
        <w:widowControl/>
        <w:rPr>
          <w:rFonts w:ascii="Century Gothic" w:hAnsi="Century Gothic" w:cs="Arial"/>
          <w:b/>
          <w:iCs/>
          <w:sz w:val="24"/>
          <w:szCs w:val="24"/>
        </w:rPr>
      </w:pPr>
    </w:p>
    <w:p w14:paraId="231AB64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MOB (</w:t>
      </w:r>
      <w:r w:rsidRPr="00E6113B">
        <w:rPr>
          <w:rFonts w:ascii="Century Gothic" w:hAnsi="Century Gothic" w:cs="Arial"/>
          <w:bCs/>
          <w:i/>
          <w:iCs/>
          <w:sz w:val="24"/>
          <w:szCs w:val="24"/>
        </w:rPr>
        <w:t>Xyleborus monographus</w:t>
      </w:r>
      <w:r w:rsidRPr="00E6113B">
        <w:rPr>
          <w:rFonts w:ascii="Century Gothic" w:hAnsi="Century Gothic" w:cs="Arial"/>
          <w:bCs/>
          <w:iCs/>
          <w:sz w:val="24"/>
          <w:szCs w:val="24"/>
        </w:rPr>
        <w:t xml:space="preserve">) and its associated fungi continue to kill valley and blue oaks throughout Napa, Sonoma, and Lake Counties as well as in Citrus Heights,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Germany; whereas, </w:t>
      </w:r>
      <w:r w:rsidRPr="00E6113B">
        <w:rPr>
          <w:rFonts w:ascii="Century Gothic" w:hAnsi="Century Gothic" w:cs="Arial"/>
          <w:bCs/>
          <w:iCs/>
          <w:sz w:val="24"/>
          <w:szCs w:val="24"/>
        </w:rPr>
        <w:lastRenderedPageBreak/>
        <w:t>the California MOB originated in France.  The potential for further introductions into California remains a concern.</w:t>
      </w:r>
    </w:p>
    <w:p w14:paraId="52D043FF" w14:textId="77777777" w:rsidR="00D26605" w:rsidRPr="00E6113B" w:rsidRDefault="00D26605" w:rsidP="00D26605">
      <w:pPr>
        <w:widowControl/>
        <w:rPr>
          <w:rFonts w:ascii="Century Gothic" w:hAnsi="Century Gothic" w:cs="Arial"/>
          <w:b/>
          <w:iCs/>
          <w:sz w:val="24"/>
          <w:szCs w:val="24"/>
        </w:rPr>
      </w:pPr>
    </w:p>
    <w:p w14:paraId="1ACD64EE"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Sudden Oak Death (SOD)</w:t>
      </w:r>
    </w:p>
    <w:p w14:paraId="54A5C963" w14:textId="77777777" w:rsidR="00D26605" w:rsidRPr="00E6113B" w:rsidRDefault="00D26605" w:rsidP="00D26605">
      <w:pPr>
        <w:widowControl/>
        <w:rPr>
          <w:rFonts w:ascii="Century Gothic" w:hAnsi="Century Gothic" w:cs="Arial"/>
          <w:b/>
          <w:iCs/>
          <w:sz w:val="24"/>
          <w:szCs w:val="24"/>
        </w:rPr>
      </w:pPr>
    </w:p>
    <w:p w14:paraId="772BCD6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In late 2021 and early 2022, CAL FIRE and UC Cooperative Extension Humboldt-Del Norte Counties detected a satellite </w:t>
      </w:r>
      <w:r w:rsidRPr="00E6113B">
        <w:rPr>
          <w:rFonts w:ascii="Century Gothic" w:hAnsi="Century Gothic" w:cs="Arial"/>
          <w:bCs/>
          <w:i/>
          <w:iCs/>
          <w:sz w:val="24"/>
          <w:szCs w:val="24"/>
        </w:rPr>
        <w:t>Phytophthora ramorum</w:t>
      </w:r>
      <w:r w:rsidRPr="00E6113B">
        <w:rPr>
          <w:rFonts w:ascii="Century Gothic" w:hAnsi="Century Gothic" w:cs="Arial"/>
          <w:bCs/>
          <w:iCs/>
          <w:sz w:val="24"/>
          <w:szCs w:val="24"/>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2023, as was discussion of the optimal size and location for a requested SOD zone of infestation (ZOI) in Del Norte County. </w:t>
      </w:r>
    </w:p>
    <w:p w14:paraId="6672EA16" w14:textId="77777777" w:rsidR="00D26605" w:rsidRPr="00E6113B" w:rsidRDefault="00D26605" w:rsidP="00D26605">
      <w:pPr>
        <w:widowControl/>
        <w:rPr>
          <w:rFonts w:ascii="Century Gothic" w:hAnsi="Century Gothic" w:cs="Arial"/>
          <w:bCs/>
          <w:iCs/>
          <w:sz w:val="24"/>
          <w:szCs w:val="24"/>
        </w:rPr>
      </w:pPr>
    </w:p>
    <w:p w14:paraId="618B44E7"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Wet winters and springs over the past two years are expected to result in increased in SOD activity in 2024.  There is typically a two-year delay from infection during wet periods to increases in symptoms and mortality in oaks and tanoaks.</w:t>
      </w:r>
    </w:p>
    <w:p w14:paraId="36DF35E0" w14:textId="77777777" w:rsidR="00D26605" w:rsidRPr="00E6113B" w:rsidRDefault="00D26605" w:rsidP="00D26605">
      <w:pPr>
        <w:widowControl/>
        <w:rPr>
          <w:rFonts w:ascii="Century Gothic" w:hAnsi="Century Gothic" w:cs="Arial"/>
          <w:b/>
          <w:iCs/>
          <w:sz w:val="24"/>
          <w:szCs w:val="24"/>
        </w:rPr>
      </w:pPr>
    </w:p>
    <w:p w14:paraId="2C2291B1"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Positive stream samples for SOD in San Luis Obispo County remain a concern.  The potential vegetative source of the infestation has yet to be found despite numerous surveys over the past several years in the area.</w:t>
      </w:r>
    </w:p>
    <w:p w14:paraId="453BF96F" w14:textId="77777777" w:rsidR="00D26605" w:rsidRPr="00E6113B" w:rsidRDefault="00D26605" w:rsidP="00D26605">
      <w:pPr>
        <w:widowControl/>
        <w:rPr>
          <w:rFonts w:ascii="Century Gothic" w:hAnsi="Century Gothic" w:cs="Arial"/>
          <w:b/>
          <w:iCs/>
          <w:sz w:val="24"/>
          <w:szCs w:val="24"/>
        </w:rPr>
      </w:pPr>
    </w:p>
    <w:p w14:paraId="28DCF1C4"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Pitch Canker Disease</w:t>
      </w:r>
    </w:p>
    <w:p w14:paraId="3F33A8E5" w14:textId="77777777" w:rsidR="00D26605" w:rsidRPr="00E6113B" w:rsidRDefault="00D26605" w:rsidP="00D26605">
      <w:pPr>
        <w:widowControl/>
        <w:rPr>
          <w:rFonts w:ascii="Century Gothic" w:hAnsi="Century Gothic" w:cs="Arial"/>
          <w:b/>
          <w:iCs/>
          <w:sz w:val="24"/>
          <w:szCs w:val="24"/>
        </w:rPr>
      </w:pPr>
    </w:p>
    <w:p w14:paraId="3BE337F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Pitch Canker (</w:t>
      </w:r>
      <w:r w:rsidRPr="00E6113B">
        <w:rPr>
          <w:rFonts w:ascii="Century Gothic" w:hAnsi="Century Gothic" w:cs="Arial"/>
          <w:bCs/>
          <w:i/>
          <w:iCs/>
          <w:sz w:val="24"/>
          <w:szCs w:val="24"/>
        </w:rPr>
        <w:t>Fusarium circinatum</w:t>
      </w:r>
      <w:r w:rsidRPr="00E6113B">
        <w:rPr>
          <w:rFonts w:ascii="Century Gothic" w:hAnsi="Century Gothic" w:cs="Arial"/>
          <w:bCs/>
          <w:iCs/>
          <w:sz w:val="24"/>
          <w:szCs w:val="24"/>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found.</w:t>
      </w:r>
    </w:p>
    <w:p w14:paraId="16E7430C" w14:textId="77777777" w:rsidR="00D26605" w:rsidRPr="00E6113B" w:rsidRDefault="00D26605" w:rsidP="00D26605">
      <w:pPr>
        <w:widowControl/>
        <w:rPr>
          <w:rFonts w:ascii="Century Gothic" w:hAnsi="Century Gothic" w:cs="Arial"/>
          <w:b/>
          <w:iCs/>
          <w:sz w:val="24"/>
          <w:szCs w:val="24"/>
        </w:rPr>
      </w:pPr>
    </w:p>
    <w:p w14:paraId="4103D2F0"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White Pine Blister Rust</w:t>
      </w:r>
    </w:p>
    <w:p w14:paraId="4AC02823" w14:textId="77777777" w:rsidR="00D26605" w:rsidRPr="00E6113B" w:rsidRDefault="00D26605" w:rsidP="00D26605">
      <w:pPr>
        <w:widowControl/>
        <w:rPr>
          <w:rFonts w:ascii="Century Gothic" w:hAnsi="Century Gothic" w:cs="Arial"/>
          <w:b/>
          <w:iCs/>
          <w:sz w:val="24"/>
          <w:szCs w:val="24"/>
        </w:rPr>
      </w:pPr>
    </w:p>
    <w:p w14:paraId="48D0B695"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White pine blister rust (caused by </w:t>
      </w:r>
      <w:r w:rsidRPr="00E6113B">
        <w:rPr>
          <w:rFonts w:ascii="Century Gothic" w:hAnsi="Century Gothic" w:cs="Arial"/>
          <w:bCs/>
          <w:i/>
          <w:iCs/>
          <w:sz w:val="24"/>
          <w:szCs w:val="24"/>
        </w:rPr>
        <w:t>Cronartium ribicola</w:t>
      </w:r>
      <w:r w:rsidRPr="00E6113B">
        <w:rPr>
          <w:rFonts w:ascii="Century Gothic" w:hAnsi="Century Gothic" w:cs="Arial"/>
          <w:bCs/>
          <w:iCs/>
          <w:sz w:val="24"/>
          <w:szCs w:val="24"/>
        </w:rPr>
        <w:t>) was found in Los Angeles County in 2023 and is confirmed to be fruiting on several species of gooseberry (</w:t>
      </w:r>
      <w:r w:rsidRPr="00E6113B">
        <w:rPr>
          <w:rFonts w:ascii="Century Gothic" w:hAnsi="Century Gothic" w:cs="Arial"/>
          <w:bCs/>
          <w:i/>
          <w:iCs/>
          <w:sz w:val="24"/>
          <w:szCs w:val="24"/>
        </w:rPr>
        <w:t>Ribes</w:t>
      </w:r>
      <w:r w:rsidRPr="00E6113B">
        <w:rPr>
          <w:rFonts w:ascii="Century Gothic" w:hAnsi="Century Gothic" w:cs="Arial"/>
          <w:bCs/>
          <w:iCs/>
          <w:sz w:val="24"/>
          <w:szCs w:val="24"/>
        </w:rPr>
        <w:t xml:space="preserve"> spp).  While western white pine, sugar pine, whitebark pine, and limber pine are primary white pine blister rust hosts, Ribes species are required alternate hosts for the fungus lifecycle.  This is the first time white pine blister rust has been found this far south in California. To date, no primary hosts have been found infected in the area.</w:t>
      </w:r>
    </w:p>
    <w:p w14:paraId="09F9533D" w14:textId="77777777" w:rsidR="00D26605" w:rsidRPr="00E6113B" w:rsidRDefault="00D26605" w:rsidP="00D26605">
      <w:pPr>
        <w:widowControl/>
        <w:rPr>
          <w:rFonts w:ascii="Century Gothic" w:hAnsi="Century Gothic" w:cs="Arial"/>
          <w:b/>
          <w:iCs/>
          <w:sz w:val="24"/>
          <w:szCs w:val="24"/>
        </w:rPr>
      </w:pPr>
    </w:p>
    <w:p w14:paraId="3CFB0E39"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Acute Oak Decline</w:t>
      </w:r>
    </w:p>
    <w:p w14:paraId="065D69FE" w14:textId="77777777" w:rsidR="00D26605" w:rsidRPr="00E6113B" w:rsidRDefault="00D26605" w:rsidP="00D26605">
      <w:pPr>
        <w:widowControl/>
        <w:rPr>
          <w:rFonts w:ascii="Century Gothic" w:hAnsi="Century Gothic" w:cs="Arial"/>
          <w:b/>
          <w:iCs/>
          <w:sz w:val="24"/>
          <w:szCs w:val="24"/>
        </w:rPr>
      </w:pPr>
    </w:p>
    <w:p w14:paraId="48B7DB1D"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Blue oaks with basal trunk cankers were found in Santa Benito County in 2023.  Several bacteria were isolated from tree samples (</w:t>
      </w:r>
      <w:r w:rsidRPr="00E6113B">
        <w:rPr>
          <w:rFonts w:ascii="Century Gothic" w:hAnsi="Century Gothic" w:cs="Arial"/>
          <w:bCs/>
          <w:i/>
          <w:iCs/>
          <w:sz w:val="24"/>
          <w:szCs w:val="24"/>
        </w:rPr>
        <w:t>Rahnella victoriana, Brenneria goodwinii, Gibbsiella quercinecans</w:t>
      </w:r>
      <w:r w:rsidRPr="00E6113B">
        <w:rPr>
          <w:rFonts w:ascii="Century Gothic" w:hAnsi="Century Gothic" w:cs="Arial"/>
          <w:bCs/>
          <w:iCs/>
          <w:sz w:val="24"/>
          <w:szCs w:val="24"/>
        </w:rPr>
        <w:t xml:space="preserve">, and </w:t>
      </w:r>
      <w:r w:rsidRPr="00E6113B">
        <w:rPr>
          <w:rFonts w:ascii="Century Gothic" w:hAnsi="Century Gothic" w:cs="Arial"/>
          <w:bCs/>
          <w:i/>
          <w:iCs/>
          <w:sz w:val="24"/>
          <w:szCs w:val="24"/>
        </w:rPr>
        <w:t>Erwinia</w:t>
      </w:r>
      <w:r w:rsidRPr="00E6113B">
        <w:rPr>
          <w:rFonts w:ascii="Century Gothic" w:hAnsi="Century Gothic" w:cs="Arial"/>
          <w:bCs/>
          <w:iCs/>
          <w:sz w:val="24"/>
          <w:szCs w:val="24"/>
        </w:rPr>
        <w:t xml:space="preserve"> sp.).  These bacteria have been associated with acute oak decline in Britain.  Further surveys and sampling have found the bacteria in Los Angeles </w:t>
      </w:r>
      <w:r w:rsidRPr="00E6113B">
        <w:rPr>
          <w:rFonts w:ascii="Century Gothic" w:hAnsi="Century Gothic" w:cs="Arial"/>
          <w:bCs/>
          <w:iCs/>
          <w:sz w:val="24"/>
          <w:szCs w:val="24"/>
        </w:rPr>
        <w:lastRenderedPageBreak/>
        <w:t>County on blue and coast live oaks with potential sites throughout southern and central California.  It is unknown if these are new introductions of the bacteria or if it has been present and previously gone undetected.</w:t>
      </w:r>
    </w:p>
    <w:p w14:paraId="505DB6F5" w14:textId="77777777" w:rsidR="00D26605" w:rsidRPr="00E6113B" w:rsidRDefault="00D26605" w:rsidP="00D26605">
      <w:pPr>
        <w:widowControl/>
        <w:rPr>
          <w:rFonts w:ascii="Century Gothic" w:hAnsi="Century Gothic" w:cs="Arial"/>
          <w:b/>
          <w:iCs/>
          <w:sz w:val="24"/>
          <w:szCs w:val="24"/>
        </w:rPr>
      </w:pPr>
    </w:p>
    <w:p w14:paraId="3640C386"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Sooty Canker of Maple</w:t>
      </w:r>
    </w:p>
    <w:p w14:paraId="6D99C272" w14:textId="77777777" w:rsidR="00D26605" w:rsidRPr="00E6113B" w:rsidRDefault="00D26605" w:rsidP="00D26605">
      <w:pPr>
        <w:widowControl/>
        <w:rPr>
          <w:rFonts w:ascii="Century Gothic" w:hAnsi="Century Gothic" w:cs="Arial"/>
          <w:b/>
          <w:iCs/>
          <w:sz w:val="24"/>
          <w:szCs w:val="24"/>
        </w:rPr>
      </w:pPr>
    </w:p>
    <w:p w14:paraId="3EC5764A"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Sooty canker of maples (</w:t>
      </w:r>
      <w:r w:rsidRPr="00E6113B">
        <w:rPr>
          <w:rFonts w:ascii="Century Gothic" w:hAnsi="Century Gothic" w:cs="Arial"/>
          <w:bCs/>
          <w:i/>
          <w:iCs/>
          <w:sz w:val="24"/>
          <w:szCs w:val="24"/>
        </w:rPr>
        <w:t>Cryptostroma corticale</w:t>
      </w:r>
      <w:r w:rsidRPr="00E6113B">
        <w:rPr>
          <w:rFonts w:ascii="Century Gothic" w:hAnsi="Century Gothic" w:cs="Arial"/>
          <w:bCs/>
          <w:iCs/>
          <w:sz w:val="24"/>
          <w:szCs w:val="24"/>
        </w:rPr>
        <w:t>) is a newly identified disease of maples in California that was found in Sacramento and El Dorado Counties killing silver and Norway maples.  It was also identified in Puget Sound, Washington in 2022 and 2023.  Researchers found the disease to be common on big leaf maple throughout eastern Washington and believe it might be native to the area.  It is currently unknown if it is native to California.  The disease was previously only known to be native to the Great Lakes Region.  The fungus can cause a respiratory disease in humans with weakened immune systems.</w:t>
      </w:r>
    </w:p>
    <w:p w14:paraId="3857DDDC" w14:textId="77777777" w:rsidR="00D26605" w:rsidRPr="00E6113B" w:rsidRDefault="00D26605" w:rsidP="00D26605">
      <w:pPr>
        <w:widowControl/>
        <w:rPr>
          <w:rFonts w:ascii="Century Gothic" w:hAnsi="Century Gothic" w:cs="Arial"/>
          <w:b/>
          <w:iCs/>
          <w:sz w:val="24"/>
          <w:szCs w:val="24"/>
        </w:rPr>
      </w:pPr>
    </w:p>
    <w:p w14:paraId="1DE706C2" w14:textId="3D5A58F1"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Ghost Canker of Pines in Southern California</w:t>
      </w:r>
    </w:p>
    <w:p w14:paraId="42FAFF0B" w14:textId="77777777" w:rsidR="00D26605" w:rsidRPr="00E6113B" w:rsidRDefault="00D26605" w:rsidP="00D26605">
      <w:pPr>
        <w:widowControl/>
        <w:rPr>
          <w:rFonts w:ascii="Century Gothic" w:hAnsi="Century Gothic" w:cs="Arial"/>
          <w:b/>
          <w:iCs/>
          <w:sz w:val="24"/>
          <w:szCs w:val="24"/>
        </w:rPr>
      </w:pPr>
    </w:p>
    <w:p w14:paraId="3217162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 xml:space="preserve">Ghost canker (caused by two species of the fungus </w:t>
      </w:r>
      <w:r w:rsidRPr="00E6113B">
        <w:rPr>
          <w:rFonts w:ascii="Century Gothic" w:hAnsi="Century Gothic" w:cs="Arial"/>
          <w:bCs/>
          <w:i/>
          <w:iCs/>
          <w:sz w:val="24"/>
          <w:szCs w:val="24"/>
        </w:rPr>
        <w:t>Neofusicoccum</w:t>
      </w:r>
      <w:r w:rsidRPr="00E6113B">
        <w:rPr>
          <w:rFonts w:ascii="Century Gothic" w:hAnsi="Century Gothic" w:cs="Arial"/>
          <w:bCs/>
          <w:iCs/>
          <w:sz w:val="24"/>
          <w:szCs w:val="24"/>
        </w:rPr>
        <w:t>)</w:t>
      </w:r>
      <w:r w:rsidRPr="00E6113B">
        <w:rPr>
          <w:rFonts w:ascii="Century Gothic" w:hAnsi="Century Gothic" w:cs="Arial"/>
          <w:bCs/>
          <w:i/>
          <w:iCs/>
          <w:sz w:val="24"/>
          <w:szCs w:val="24"/>
        </w:rPr>
        <w:t xml:space="preserve"> </w:t>
      </w:r>
      <w:r w:rsidRPr="00E6113B">
        <w:rPr>
          <w:rFonts w:ascii="Century Gothic" w:hAnsi="Century Gothic" w:cs="Arial"/>
          <w:bCs/>
          <w:iCs/>
          <w:sz w:val="24"/>
          <w:szCs w:val="24"/>
        </w:rPr>
        <w:t>is a new pest of pines in Orange County.  The fungi are native and have been recorded causing disease in grapevine and fruit and nut trees in the area.  The disease was not previously found on conifers.  It is killing planted Monterey, Aleppo, and Canary Island pines.  The potential host range for the disease is unknown, and there is concern about what impacts it might have on native pine species.</w:t>
      </w:r>
    </w:p>
    <w:p w14:paraId="3ABA7345" w14:textId="77777777" w:rsidR="00D26605" w:rsidRPr="00E6113B" w:rsidRDefault="00D26605" w:rsidP="00D26605">
      <w:pPr>
        <w:widowControl/>
        <w:rPr>
          <w:rFonts w:ascii="Century Gothic" w:hAnsi="Century Gothic" w:cs="Arial"/>
          <w:b/>
          <w:iCs/>
          <w:sz w:val="24"/>
          <w:szCs w:val="24"/>
        </w:rPr>
      </w:pPr>
    </w:p>
    <w:p w14:paraId="1DE4FD61"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Emerald Ash Borer in Oregon</w:t>
      </w:r>
    </w:p>
    <w:p w14:paraId="74D92782" w14:textId="77777777" w:rsidR="00D26605" w:rsidRPr="00E6113B" w:rsidRDefault="00D26605" w:rsidP="00D26605">
      <w:pPr>
        <w:widowControl/>
        <w:rPr>
          <w:rFonts w:ascii="Century Gothic" w:hAnsi="Century Gothic" w:cs="Arial"/>
          <w:b/>
          <w:iCs/>
          <w:sz w:val="24"/>
          <w:szCs w:val="24"/>
        </w:rPr>
      </w:pPr>
    </w:p>
    <w:p w14:paraId="49CDAC0C"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Emerald ash borer (</w:t>
      </w:r>
      <w:r w:rsidRPr="00E6113B">
        <w:rPr>
          <w:rFonts w:ascii="Century Gothic" w:hAnsi="Century Gothic" w:cs="Arial"/>
          <w:bCs/>
          <w:i/>
          <w:iCs/>
          <w:sz w:val="24"/>
          <w:szCs w:val="24"/>
        </w:rPr>
        <w:t>Agrilus planipennis</w:t>
      </w:r>
      <w:r w:rsidRPr="00E6113B">
        <w:rPr>
          <w:rFonts w:ascii="Century Gothic" w:hAnsi="Century Gothic" w:cs="Arial"/>
          <w:bCs/>
          <w:iCs/>
          <w:sz w:val="24"/>
          <w:szCs w:val="24"/>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724E3215" w14:textId="77777777" w:rsidR="00D26605" w:rsidRPr="00E6113B" w:rsidRDefault="00D26605" w:rsidP="00D26605">
      <w:pPr>
        <w:widowControl/>
        <w:rPr>
          <w:rFonts w:ascii="Century Gothic" w:hAnsi="Century Gothic" w:cs="Arial"/>
          <w:b/>
          <w:iCs/>
          <w:sz w:val="24"/>
          <w:szCs w:val="24"/>
        </w:rPr>
      </w:pPr>
    </w:p>
    <w:p w14:paraId="3CE434C8" w14:textId="77777777" w:rsidR="00D26605" w:rsidRPr="00E6113B" w:rsidRDefault="00D26605" w:rsidP="00D26605">
      <w:pPr>
        <w:widowControl/>
        <w:rPr>
          <w:rFonts w:ascii="Century Gothic" w:hAnsi="Century Gothic" w:cs="Arial"/>
          <w:b/>
          <w:iCs/>
          <w:sz w:val="24"/>
          <w:szCs w:val="24"/>
        </w:rPr>
      </w:pPr>
      <w:r w:rsidRPr="00E6113B">
        <w:rPr>
          <w:rFonts w:ascii="Century Gothic" w:hAnsi="Century Gothic" w:cs="Arial"/>
          <w:b/>
          <w:iCs/>
          <w:sz w:val="24"/>
          <w:szCs w:val="24"/>
        </w:rPr>
        <w:t>Spongy Moth</w:t>
      </w:r>
    </w:p>
    <w:p w14:paraId="19C9BEE4" w14:textId="77777777" w:rsidR="00D26605" w:rsidRPr="00E6113B" w:rsidRDefault="00D26605" w:rsidP="00D26605">
      <w:pPr>
        <w:widowControl/>
        <w:rPr>
          <w:rFonts w:ascii="Century Gothic" w:hAnsi="Century Gothic" w:cs="Arial"/>
          <w:b/>
          <w:iCs/>
          <w:sz w:val="24"/>
          <w:szCs w:val="24"/>
        </w:rPr>
      </w:pPr>
    </w:p>
    <w:p w14:paraId="6BACE952" w14:textId="77777777" w:rsidR="00D26605" w:rsidRPr="00E6113B" w:rsidRDefault="00D26605" w:rsidP="00D26605">
      <w:pPr>
        <w:widowControl/>
        <w:rPr>
          <w:rFonts w:ascii="Century Gothic" w:hAnsi="Century Gothic" w:cs="Arial"/>
          <w:bCs/>
          <w:iCs/>
          <w:sz w:val="24"/>
          <w:szCs w:val="24"/>
        </w:rPr>
      </w:pPr>
      <w:r w:rsidRPr="00E6113B">
        <w:rPr>
          <w:rFonts w:ascii="Century Gothic" w:hAnsi="Century Gothic" w:cs="Arial"/>
          <w:bCs/>
          <w:iCs/>
          <w:sz w:val="24"/>
          <w:szCs w:val="24"/>
        </w:rPr>
        <w:t>Spongy moth (</w:t>
      </w:r>
      <w:r w:rsidRPr="00E6113B">
        <w:rPr>
          <w:rFonts w:ascii="Century Gothic" w:hAnsi="Century Gothic" w:cs="Arial"/>
          <w:bCs/>
          <w:i/>
          <w:iCs/>
          <w:sz w:val="24"/>
          <w:szCs w:val="24"/>
        </w:rPr>
        <w:t>Lymantria dispar</w:t>
      </w:r>
      <w:r w:rsidRPr="00E6113B">
        <w:rPr>
          <w:rFonts w:ascii="Century Gothic" w:hAnsi="Century Gothic" w:cs="Arial"/>
          <w:bCs/>
          <w:iCs/>
          <w:sz w:val="24"/>
          <w:szCs w:val="24"/>
        </w:rPr>
        <w:t>), formerly known as gypsy moth, is a non-native insect known for defoliating and damaging oaks and other hardwood trees in the eastern U.S.  In 2023, seven adult male moths were captured in traps in six California counties (Los Angeles, San Diego, Monterey, Santa Clara, Contra Costa, and Ventura).  Delimitation traps are being deployed throughout the affected counties. To avoid moth establishment, spot treatments may be implemented.  The Los Angeles County find is especially concerning since it is of Asian or Siberian decent, which differs from the more common European moth in that the females can fly and the caterpillars feed on both hardwood and conifer tree species.</w:t>
      </w:r>
    </w:p>
    <w:p w14:paraId="244CE10B" w14:textId="7A45F93B" w:rsidR="00EE2692" w:rsidRPr="00E6113B" w:rsidRDefault="0049513F" w:rsidP="00F3046E">
      <w:pPr>
        <w:pStyle w:val="Heading1"/>
      </w:pPr>
      <w:bookmarkStart w:id="12" w:name="_Toc89188558"/>
      <w:bookmarkStart w:id="13" w:name="_Toc169083974"/>
      <w:r w:rsidRPr="00E6113B">
        <w:t>Timber Harvest Permitting</w:t>
      </w:r>
      <w:bookmarkEnd w:id="12"/>
      <w:bookmarkEnd w:id="13"/>
    </w:p>
    <w:p w14:paraId="472C4687" w14:textId="5C319184" w:rsidR="00141E4D" w:rsidRPr="00141E4D" w:rsidRDefault="00F14BFB" w:rsidP="00141E4D">
      <w:pPr>
        <w:pStyle w:val="BodyText"/>
        <w:spacing w:after="600"/>
      </w:pPr>
      <w:bookmarkStart w:id="14" w:name="_Forest_Products_Sector"/>
      <w:bookmarkEnd w:id="14"/>
      <w:r>
        <w:lastRenderedPageBreak/>
        <w:t>Annual</w:t>
      </w:r>
      <w:r w:rsidR="0049513F" w:rsidRPr="00E6113B">
        <w:t xml:space="preserve"> timber harvesting permits</w:t>
      </w:r>
      <w:r w:rsidR="00D41941" w:rsidRPr="00E6113B">
        <w:t xml:space="preserve"> are shown in the below tables. The</w:t>
      </w:r>
      <w:r w:rsidR="005B1D9A" w:rsidRPr="00E6113B">
        <w:t xml:space="preserve"> u</w:t>
      </w:r>
      <w:r w:rsidR="00341DE3" w:rsidRPr="00E6113B">
        <w:t>se</w:t>
      </w:r>
      <w:r w:rsidR="005B1D9A" w:rsidRPr="00E6113B">
        <w:t xml:space="preserve"> of e</w:t>
      </w:r>
      <w:r w:rsidR="00442852" w:rsidRPr="00E6113B">
        <w:t>xemptions, as allowed for under PRC § 4584 and 14 CCR § 1038</w:t>
      </w:r>
      <w:r w:rsidR="00D44852" w:rsidRPr="00E6113B">
        <w:t xml:space="preserve">, </w:t>
      </w:r>
      <w:r w:rsidR="00D41941" w:rsidRPr="00E6113B">
        <w:t xml:space="preserve">decreased </w:t>
      </w:r>
      <w:r w:rsidR="00B673E2" w:rsidRPr="00E6113B">
        <w:t>in</w:t>
      </w:r>
      <w:r w:rsidR="00442852" w:rsidRPr="00E6113B">
        <w:t xml:space="preserve"> </w:t>
      </w:r>
      <w:r w:rsidR="002C25AE">
        <w:t xml:space="preserve">acres and </w:t>
      </w:r>
      <w:r w:rsidR="00614603" w:rsidRPr="00E6113B">
        <w:t>number</w:t>
      </w:r>
      <w:r w:rsidR="00665825" w:rsidRPr="00E6113B">
        <w:t xml:space="preserve"> of notifications</w:t>
      </w:r>
      <w:r w:rsidR="00D44852" w:rsidRPr="00E6113B">
        <w:t xml:space="preserve"> </w:t>
      </w:r>
      <w:r w:rsidR="00C10ACC" w:rsidRPr="00E6113B">
        <w:t>(Figure</w:t>
      </w:r>
      <w:r w:rsidR="0047567B" w:rsidRPr="00E6113B">
        <w:t>1</w:t>
      </w:r>
      <w:r w:rsidR="00614603" w:rsidRPr="00E6113B">
        <w:t>)</w:t>
      </w:r>
      <w:r w:rsidR="00B673E2" w:rsidRPr="00E6113B">
        <w:t>.</w:t>
      </w:r>
      <w:r w:rsidR="00442852" w:rsidRPr="00E6113B">
        <w:t xml:space="preserve"> Emergency Notices provided for under 14 CCR § 1052.1 </w:t>
      </w:r>
      <w:r w:rsidR="002C25AE">
        <w:t>increased</w:t>
      </w:r>
      <w:r w:rsidR="00D41941" w:rsidRPr="00E6113B">
        <w:t xml:space="preserve"> </w:t>
      </w:r>
      <w:r w:rsidR="00D44852" w:rsidRPr="00E6113B">
        <w:t xml:space="preserve">in number </w:t>
      </w:r>
      <w:r w:rsidR="00665825" w:rsidRPr="00E6113B">
        <w:t xml:space="preserve">of notifications </w:t>
      </w:r>
      <w:r w:rsidR="00D44852" w:rsidRPr="00E6113B">
        <w:t xml:space="preserve">and </w:t>
      </w:r>
      <w:r w:rsidR="002C25AE">
        <w:t>decreased</w:t>
      </w:r>
      <w:r w:rsidR="00665825" w:rsidRPr="00E6113B">
        <w:t xml:space="preserve"> in</w:t>
      </w:r>
      <w:r w:rsidR="00D44852" w:rsidRPr="00E6113B">
        <w:t xml:space="preserve"> acreage</w:t>
      </w:r>
      <w:r w:rsidR="00C10ACC" w:rsidRPr="00E6113B">
        <w:t xml:space="preserve"> (Figure </w:t>
      </w:r>
      <w:r w:rsidR="00665825" w:rsidRPr="00E6113B">
        <w:t>2</w:t>
      </w:r>
      <w:r w:rsidR="00614603" w:rsidRPr="00E6113B">
        <w:t>)</w:t>
      </w:r>
      <w:r w:rsidR="00442852" w:rsidRPr="00E6113B">
        <w:t xml:space="preserve">. </w:t>
      </w:r>
      <w:r w:rsidR="00C61486" w:rsidRPr="00E6113B">
        <w:t>Individual</w:t>
      </w:r>
      <w:r w:rsidR="00C61486" w:rsidRPr="00E6113B">
        <w:rPr>
          <w:spacing w:val="-5"/>
        </w:rPr>
        <w:t xml:space="preserve"> </w:t>
      </w:r>
      <w:r w:rsidR="00C61486" w:rsidRPr="00E6113B">
        <w:t>Timber</w:t>
      </w:r>
      <w:r w:rsidR="00C61486" w:rsidRPr="00E6113B">
        <w:rPr>
          <w:spacing w:val="3"/>
        </w:rPr>
        <w:t xml:space="preserve"> </w:t>
      </w:r>
      <w:r w:rsidR="00C61486" w:rsidRPr="00E6113B">
        <w:t>Harvesting</w:t>
      </w:r>
      <w:r w:rsidR="00C61486" w:rsidRPr="00E6113B">
        <w:rPr>
          <w:spacing w:val="-1"/>
        </w:rPr>
        <w:t xml:space="preserve"> </w:t>
      </w:r>
      <w:r w:rsidR="00C61486" w:rsidRPr="00E6113B">
        <w:t>Plans</w:t>
      </w:r>
      <w:r w:rsidR="00C61486" w:rsidRPr="00E6113B">
        <w:rPr>
          <w:spacing w:val="-1"/>
        </w:rPr>
        <w:t xml:space="preserve"> </w:t>
      </w:r>
      <w:r w:rsidR="00C61486" w:rsidRPr="00E6113B">
        <w:t>(THPs)</w:t>
      </w:r>
      <w:r w:rsidR="00C61486" w:rsidRPr="00E6113B">
        <w:rPr>
          <w:spacing w:val="-3"/>
        </w:rPr>
        <w:t xml:space="preserve"> </w:t>
      </w:r>
      <w:r w:rsidR="00080E62" w:rsidRPr="00E6113B">
        <w:rPr>
          <w:spacing w:val="-1"/>
        </w:rPr>
        <w:t xml:space="preserve">decreased slightly in number and </w:t>
      </w:r>
      <w:r w:rsidR="0047567B" w:rsidRPr="00E6113B">
        <w:rPr>
          <w:spacing w:val="-1"/>
        </w:rPr>
        <w:t xml:space="preserve">decreased </w:t>
      </w:r>
      <w:r w:rsidR="00DD3698" w:rsidRPr="00E6113B">
        <w:rPr>
          <w:spacing w:val="-1"/>
        </w:rPr>
        <w:t xml:space="preserve">in </w:t>
      </w:r>
      <w:r w:rsidR="00080E62" w:rsidRPr="00E6113B">
        <w:rPr>
          <w:spacing w:val="-1"/>
        </w:rPr>
        <w:t xml:space="preserve">acreage in Fiscal Year </w:t>
      </w:r>
      <w:r w:rsidR="00665825" w:rsidRPr="00E6113B">
        <w:rPr>
          <w:spacing w:val="-1"/>
        </w:rPr>
        <w:t>202</w:t>
      </w:r>
      <w:r w:rsidR="002C25AE">
        <w:rPr>
          <w:spacing w:val="-1"/>
        </w:rPr>
        <w:t>2-23</w:t>
      </w:r>
      <w:r w:rsidR="0047567B" w:rsidRPr="00E6113B">
        <w:rPr>
          <w:spacing w:val="-1"/>
        </w:rPr>
        <w:t xml:space="preserve"> </w:t>
      </w:r>
      <w:r w:rsidR="00C61486" w:rsidRPr="00E6113B">
        <w:rPr>
          <w:spacing w:val="-1"/>
        </w:rPr>
        <w:t xml:space="preserve">(Figure </w:t>
      </w:r>
      <w:r w:rsidR="00665825" w:rsidRPr="00E6113B">
        <w:rPr>
          <w:spacing w:val="-1"/>
        </w:rPr>
        <w:t>3</w:t>
      </w:r>
      <w:r w:rsidR="00C61486" w:rsidRPr="00E6113B">
        <w:rPr>
          <w:spacing w:val="-1"/>
        </w:rPr>
        <w:t xml:space="preserve">). </w:t>
      </w:r>
      <w:r w:rsidR="00C61486" w:rsidRPr="00E6113B">
        <w:rPr>
          <w:spacing w:val="-3"/>
        </w:rPr>
        <w:t xml:space="preserve">The number </w:t>
      </w:r>
      <w:r w:rsidR="0047567B" w:rsidRPr="00E6113B">
        <w:rPr>
          <w:spacing w:val="-3"/>
        </w:rPr>
        <w:t xml:space="preserve">and acreage </w:t>
      </w:r>
      <w:r w:rsidR="00C61486" w:rsidRPr="00E6113B">
        <w:rPr>
          <w:spacing w:val="-3"/>
        </w:rPr>
        <w:t xml:space="preserve">of </w:t>
      </w:r>
      <w:r w:rsidR="00C61486" w:rsidRPr="00E6113B">
        <w:t>Non-Industrial</w:t>
      </w:r>
      <w:r w:rsidR="00C61486" w:rsidRPr="00E6113B">
        <w:rPr>
          <w:spacing w:val="-5"/>
        </w:rPr>
        <w:t xml:space="preserve"> </w:t>
      </w:r>
      <w:r w:rsidR="0047567B" w:rsidRPr="00E6113B">
        <w:t>Timber Management</w:t>
      </w:r>
      <w:r w:rsidR="00C61486" w:rsidRPr="00E6113B">
        <w:rPr>
          <w:spacing w:val="2"/>
        </w:rPr>
        <w:t xml:space="preserve"> </w:t>
      </w:r>
      <w:r w:rsidR="00C61486" w:rsidRPr="00E6113B">
        <w:t>Plans</w:t>
      </w:r>
      <w:r w:rsidR="00C61486" w:rsidRPr="00E6113B">
        <w:rPr>
          <w:spacing w:val="-4"/>
        </w:rPr>
        <w:t xml:space="preserve"> </w:t>
      </w:r>
      <w:r w:rsidR="00C61486" w:rsidRPr="00E6113B">
        <w:t>(NTMPs</w:t>
      </w:r>
      <w:r w:rsidR="00080E62" w:rsidRPr="00E6113B">
        <w:t xml:space="preserve">) </w:t>
      </w:r>
      <w:r w:rsidR="002C25AE">
        <w:t xml:space="preserve">both increased this year </w:t>
      </w:r>
      <w:r w:rsidR="00C61486" w:rsidRPr="00E6113B">
        <w:t>(Figure</w:t>
      </w:r>
      <w:r w:rsidR="00341DE3" w:rsidRPr="00E6113B">
        <w:t xml:space="preserve"> </w:t>
      </w:r>
      <w:r w:rsidR="00665825" w:rsidRPr="00E6113B">
        <w:t>4</w:t>
      </w:r>
      <w:r w:rsidR="00C61486" w:rsidRPr="00E6113B">
        <w:t>).</w:t>
      </w:r>
      <w:r w:rsidR="00C61486" w:rsidRPr="00E6113B">
        <w:rPr>
          <w:spacing w:val="-5"/>
        </w:rPr>
        <w:t xml:space="preserve"> </w:t>
      </w:r>
      <w:bookmarkStart w:id="15" w:name="_Hlk88056287"/>
    </w:p>
    <w:p w14:paraId="2A56ECE1" w14:textId="75A7188C"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271498AB" w14:textId="77777777" w:rsidR="00141E4D" w:rsidRDefault="00141E4D">
      <w:pPr>
        <w:widowControl/>
        <w:rPr>
          <w:rFonts w:ascii="Century Gothic" w:eastAsia="Arial" w:hAnsi="Century Gothic"/>
          <w:b/>
          <w:iCs/>
          <w:sz w:val="24"/>
          <w:szCs w:val="24"/>
        </w:rPr>
      </w:pPr>
      <w:r>
        <w:br w:type="page"/>
      </w:r>
    </w:p>
    <w:p w14:paraId="1BD9B786" w14:textId="2665B66F" w:rsidR="00F74116" w:rsidRPr="00E6113B" w:rsidRDefault="00F74116" w:rsidP="00D10578">
      <w:pPr>
        <w:pStyle w:val="Heading4"/>
        <w:rPr>
          <w:rStyle w:val="Heading4Char"/>
          <w:b/>
          <w:bCs/>
          <w:iCs/>
        </w:rPr>
      </w:pPr>
      <w:r w:rsidRPr="00E6113B">
        <w:lastRenderedPageBreak/>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347BDF" w:rsidRPr="00E6113B">
        <w:rPr>
          <w:rStyle w:val="Heading4Char"/>
          <w:b/>
          <w:bCs/>
          <w:iCs/>
        </w:rPr>
        <w:t>22/23</w:t>
      </w:r>
    </w:p>
    <w:bookmarkEnd w:id="15"/>
    <w:p w14:paraId="62D70D2C" w14:textId="77777777" w:rsidR="00764DE9" w:rsidRPr="00E6113B" w:rsidRDefault="00764DE9" w:rsidP="0035278F">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bl>
    <w:p w14:paraId="1D540D03" w14:textId="77777777" w:rsidR="00744900" w:rsidRDefault="00744900">
      <w:r>
        <w:br w:type="page"/>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744900" w:rsidRPr="00E6113B" w14:paraId="626D97CC" w14:textId="77777777" w:rsidTr="00744900">
        <w:tc>
          <w:tcPr>
            <w:tcW w:w="1937" w:type="dxa"/>
            <w:tcBorders>
              <w:top w:val="nil"/>
              <w:bottom w:val="single" w:sz="4" w:space="0" w:color="auto"/>
              <w:right w:val="nil"/>
            </w:tcBorders>
            <w:shd w:val="clear" w:color="auto" w:fill="auto"/>
          </w:tcPr>
          <w:p w14:paraId="7222C0B0" w14:textId="12BEF4F0"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hAnsi="Century Gothic"/>
                <w:b/>
                <w:bCs/>
                <w:sz w:val="24"/>
              </w:rPr>
              <w:lastRenderedPageBreak/>
              <w:t>Fiscal Year</w:t>
            </w:r>
          </w:p>
        </w:tc>
        <w:tc>
          <w:tcPr>
            <w:tcW w:w="2232" w:type="dxa"/>
            <w:tcBorders>
              <w:top w:val="nil"/>
              <w:left w:val="nil"/>
              <w:bottom w:val="single" w:sz="4" w:space="0" w:color="auto"/>
              <w:right w:val="nil"/>
            </w:tcBorders>
            <w:shd w:val="clear" w:color="auto" w:fill="auto"/>
          </w:tcPr>
          <w:p w14:paraId="3A4717AC" w14:textId="42C7519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Harvest Document Type</w:t>
            </w:r>
          </w:p>
        </w:tc>
        <w:tc>
          <w:tcPr>
            <w:tcW w:w="1682" w:type="dxa"/>
            <w:tcBorders>
              <w:top w:val="nil"/>
              <w:left w:val="nil"/>
              <w:bottom w:val="single" w:sz="4" w:space="0" w:color="auto"/>
              <w:right w:val="nil"/>
            </w:tcBorders>
            <w:shd w:val="clear" w:color="auto" w:fill="auto"/>
          </w:tcPr>
          <w:p w14:paraId="54640583" w14:textId="7391BC6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Number of Notifications</w:t>
            </w:r>
          </w:p>
        </w:tc>
        <w:tc>
          <w:tcPr>
            <w:tcW w:w="1673" w:type="dxa"/>
            <w:tcBorders>
              <w:top w:val="nil"/>
              <w:left w:val="nil"/>
              <w:bottom w:val="single" w:sz="4" w:space="0" w:color="auto"/>
              <w:right w:val="nil"/>
            </w:tcBorders>
            <w:shd w:val="clear" w:color="auto" w:fill="auto"/>
          </w:tcPr>
          <w:p w14:paraId="1C345F3D" w14:textId="38F4F41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Acres</w:t>
            </w:r>
          </w:p>
        </w:tc>
        <w:tc>
          <w:tcPr>
            <w:tcW w:w="1595" w:type="dxa"/>
            <w:tcBorders>
              <w:top w:val="nil"/>
              <w:left w:val="nil"/>
              <w:bottom w:val="single" w:sz="4" w:space="0" w:color="auto"/>
            </w:tcBorders>
            <w:shd w:val="clear" w:color="auto" w:fill="auto"/>
          </w:tcPr>
          <w:p w14:paraId="2036692D" w14:textId="2844CCD5"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hAnsi="Century Gothic"/>
                <w:b/>
                <w:bCs/>
                <w:sz w:val="24"/>
              </w:rPr>
              <w:t>Total Acres</w:t>
            </w:r>
          </w:p>
        </w:tc>
      </w:tr>
      <w:tr w:rsidR="00744900" w:rsidRPr="00E6113B" w14:paraId="102744E2" w14:textId="77777777" w:rsidTr="00744900">
        <w:tc>
          <w:tcPr>
            <w:tcW w:w="1937" w:type="dxa"/>
            <w:tcBorders>
              <w:top w:val="single" w:sz="4" w:space="0" w:color="auto"/>
            </w:tcBorders>
            <w:shd w:val="clear" w:color="auto" w:fill="CCCCCC"/>
          </w:tcPr>
          <w:p w14:paraId="58EEF5CD" w14:textId="3D4BBB0F"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tcBorders>
              <w:top w:val="single" w:sz="4" w:space="0" w:color="auto"/>
            </w:tcBorders>
            <w:shd w:val="clear" w:color="auto" w:fill="CCCCCC"/>
          </w:tcPr>
          <w:p w14:paraId="0CCCE63F"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744900" w:rsidRPr="00E6113B" w:rsidRDefault="00744900" w:rsidP="00744900">
            <w:pPr>
              <w:contextualSpacing/>
              <w:jc w:val="center"/>
              <w:rPr>
                <w:rFonts w:ascii="Century Gothic" w:eastAsia="Times New Roman" w:hAnsi="Century Gothic" w:cs="Calibri"/>
                <w:color w:val="000000"/>
                <w:sz w:val="24"/>
                <w:szCs w:val="24"/>
              </w:rPr>
            </w:pPr>
          </w:p>
        </w:tc>
        <w:tc>
          <w:tcPr>
            <w:tcW w:w="1682" w:type="dxa"/>
            <w:tcBorders>
              <w:top w:val="single" w:sz="4" w:space="0" w:color="auto"/>
            </w:tcBorders>
            <w:shd w:val="clear" w:color="auto" w:fill="CCCCCC"/>
          </w:tcPr>
          <w:p w14:paraId="0DDBA4CE"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tcBorders>
              <w:top w:val="single" w:sz="4" w:space="0" w:color="auto"/>
            </w:tcBorders>
            <w:shd w:val="clear" w:color="auto" w:fill="CCCCCC"/>
          </w:tcPr>
          <w:p w14:paraId="26B33C02"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tcBorders>
              <w:top w:val="single" w:sz="4" w:space="0" w:color="auto"/>
            </w:tcBorders>
            <w:shd w:val="clear" w:color="auto" w:fill="CCCCCC"/>
          </w:tcPr>
          <w:p w14:paraId="18B5C3D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E22C134" w14:textId="77777777" w:rsidTr="00364DDD">
        <w:tc>
          <w:tcPr>
            <w:tcW w:w="1937" w:type="dxa"/>
            <w:shd w:val="clear" w:color="auto" w:fill="auto"/>
          </w:tcPr>
          <w:p w14:paraId="0194FC5D" w14:textId="40100C95"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D3BF3B7" w14:textId="77777777" w:rsidTr="00364DDD">
        <w:tc>
          <w:tcPr>
            <w:tcW w:w="1937" w:type="dxa"/>
            <w:shd w:val="clear" w:color="auto" w:fill="CCCCCC"/>
          </w:tcPr>
          <w:p w14:paraId="694E4B3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F734D67" w14:textId="77777777" w:rsidTr="00364DDD">
        <w:tc>
          <w:tcPr>
            <w:tcW w:w="1937" w:type="dxa"/>
            <w:shd w:val="clear" w:color="auto" w:fill="auto"/>
          </w:tcPr>
          <w:p w14:paraId="48910340"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E97AC12" w14:textId="77777777" w:rsidTr="00364DDD">
        <w:tc>
          <w:tcPr>
            <w:tcW w:w="1937" w:type="dxa"/>
            <w:shd w:val="clear" w:color="auto" w:fill="CCCCCC"/>
          </w:tcPr>
          <w:p w14:paraId="1EBA2D9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C8070BC" w14:textId="77777777" w:rsidTr="00364DDD">
        <w:tc>
          <w:tcPr>
            <w:tcW w:w="1937" w:type="dxa"/>
            <w:shd w:val="clear" w:color="auto" w:fill="auto"/>
          </w:tcPr>
          <w:p w14:paraId="4F08AD35" w14:textId="07093BB2"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33CA70B" w14:textId="77777777" w:rsidTr="00364DDD">
        <w:tc>
          <w:tcPr>
            <w:tcW w:w="1937" w:type="dxa"/>
            <w:shd w:val="clear" w:color="auto" w:fill="CCCCCC"/>
          </w:tcPr>
          <w:p w14:paraId="11C18F18" w14:textId="590B0677"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AC22F0B" w14:textId="77777777" w:rsidTr="00364DDD">
        <w:tc>
          <w:tcPr>
            <w:tcW w:w="1937" w:type="dxa"/>
            <w:shd w:val="clear" w:color="auto" w:fill="auto"/>
          </w:tcPr>
          <w:p w14:paraId="0C12F2E9"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A944F52" w14:textId="77777777" w:rsidTr="00364DDD">
        <w:tc>
          <w:tcPr>
            <w:tcW w:w="1937" w:type="dxa"/>
            <w:shd w:val="clear" w:color="auto" w:fill="CCCCCC"/>
          </w:tcPr>
          <w:p w14:paraId="5B570CC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EF8C40B" w14:textId="77777777" w:rsidTr="00364DDD">
        <w:tc>
          <w:tcPr>
            <w:tcW w:w="1937" w:type="dxa"/>
            <w:shd w:val="clear" w:color="auto" w:fill="auto"/>
          </w:tcPr>
          <w:p w14:paraId="3047BC67"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577217" w14:textId="77777777" w:rsidTr="00364DDD">
        <w:tc>
          <w:tcPr>
            <w:tcW w:w="1937" w:type="dxa"/>
            <w:shd w:val="clear" w:color="auto" w:fill="CCCCCC"/>
          </w:tcPr>
          <w:p w14:paraId="7D1077F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DE9F393" w14:textId="77777777" w:rsidTr="00364DDD">
        <w:tc>
          <w:tcPr>
            <w:tcW w:w="1937" w:type="dxa"/>
            <w:shd w:val="clear" w:color="auto" w:fill="auto"/>
          </w:tcPr>
          <w:p w14:paraId="045D199B"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744900" w:rsidRPr="00E6113B" w14:paraId="50A0CD0B" w14:textId="77777777" w:rsidTr="00364DDD">
        <w:tc>
          <w:tcPr>
            <w:tcW w:w="1937" w:type="dxa"/>
            <w:shd w:val="clear" w:color="auto" w:fill="CCCCCC"/>
          </w:tcPr>
          <w:p w14:paraId="45C75D98" w14:textId="6D2970E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6FE2435F" w14:textId="77777777" w:rsidTr="00364DDD">
        <w:tc>
          <w:tcPr>
            <w:tcW w:w="1937" w:type="dxa"/>
            <w:shd w:val="clear" w:color="auto" w:fill="auto"/>
          </w:tcPr>
          <w:p w14:paraId="43E7063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C82C7F1" w14:textId="77777777" w:rsidTr="00364DDD">
        <w:tc>
          <w:tcPr>
            <w:tcW w:w="1937" w:type="dxa"/>
            <w:shd w:val="clear" w:color="auto" w:fill="CCCCCC"/>
          </w:tcPr>
          <w:p w14:paraId="563F90CA"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EC2465C" w14:textId="77777777" w:rsidTr="00364DDD">
        <w:tc>
          <w:tcPr>
            <w:tcW w:w="1937" w:type="dxa"/>
            <w:shd w:val="clear" w:color="auto" w:fill="auto"/>
          </w:tcPr>
          <w:p w14:paraId="003D48F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737AE4E7" w14:textId="77777777" w:rsidTr="00364DDD">
        <w:tc>
          <w:tcPr>
            <w:tcW w:w="1937" w:type="dxa"/>
            <w:shd w:val="clear" w:color="auto" w:fill="CCCCCC"/>
          </w:tcPr>
          <w:p w14:paraId="6E11F888"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EB53F78" w14:textId="77777777" w:rsidTr="0061045F">
        <w:tc>
          <w:tcPr>
            <w:tcW w:w="1937" w:type="dxa"/>
            <w:shd w:val="clear" w:color="auto" w:fill="auto"/>
          </w:tcPr>
          <w:p w14:paraId="03169EB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744900" w:rsidRPr="00E6113B" w14:paraId="40BA66D6" w14:textId="77777777" w:rsidTr="00364DDD">
        <w:tc>
          <w:tcPr>
            <w:tcW w:w="1937" w:type="dxa"/>
            <w:shd w:val="clear" w:color="auto" w:fill="CCCCCC"/>
          </w:tcPr>
          <w:p w14:paraId="5AE98484" w14:textId="40F91F8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5E2C4AC"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w:t>
            </w:r>
          </w:p>
        </w:tc>
        <w:tc>
          <w:tcPr>
            <w:tcW w:w="1673" w:type="dxa"/>
            <w:shd w:val="clear" w:color="auto" w:fill="CCCCCC"/>
          </w:tcPr>
          <w:p w14:paraId="35E4471B" w14:textId="186E7DBE"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5,953</w:t>
            </w:r>
          </w:p>
        </w:tc>
        <w:tc>
          <w:tcPr>
            <w:tcW w:w="1595" w:type="dxa"/>
            <w:shd w:val="clear" w:color="auto" w:fill="CCCCCC"/>
          </w:tcPr>
          <w:p w14:paraId="11889B4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13661F0" w14:textId="77777777" w:rsidTr="0061045F">
        <w:tc>
          <w:tcPr>
            <w:tcW w:w="1937" w:type="dxa"/>
            <w:shd w:val="clear" w:color="auto" w:fill="auto"/>
          </w:tcPr>
          <w:p w14:paraId="4A07EA5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18F9A8E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w:t>
            </w:r>
            <w:r>
              <w:rPr>
                <w:rFonts w:ascii="Century Gothic" w:eastAsia="Times New Roman" w:hAnsi="Century Gothic" w:cs="Calibri"/>
                <w:bCs/>
                <w:color w:val="000000"/>
                <w:sz w:val="24"/>
                <w:szCs w:val="24"/>
              </w:rPr>
              <w:t>5</w:t>
            </w:r>
          </w:p>
        </w:tc>
        <w:tc>
          <w:tcPr>
            <w:tcW w:w="1673" w:type="dxa"/>
            <w:shd w:val="clear" w:color="auto" w:fill="auto"/>
          </w:tcPr>
          <w:p w14:paraId="179CEA5A" w14:textId="31574FC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Pr>
                <w:rFonts w:ascii="Century Gothic" w:eastAsia="Times New Roman" w:hAnsi="Century Gothic" w:cs="Calibri"/>
                <w:color w:val="000000"/>
                <w:sz w:val="24"/>
                <w:szCs w:val="24"/>
              </w:rPr>
              <w:t>380,384</w:t>
            </w:r>
          </w:p>
        </w:tc>
        <w:tc>
          <w:tcPr>
            <w:tcW w:w="1595" w:type="dxa"/>
            <w:shd w:val="clear" w:color="auto" w:fill="auto"/>
          </w:tcPr>
          <w:p w14:paraId="79D73C6F"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6DCAC63" w14:textId="77777777" w:rsidTr="00364DDD">
        <w:tc>
          <w:tcPr>
            <w:tcW w:w="1937" w:type="dxa"/>
            <w:shd w:val="clear" w:color="auto" w:fill="CCCCCC"/>
          </w:tcPr>
          <w:p w14:paraId="2E58188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1B2A3E2B"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CCCCCC"/>
          </w:tcPr>
          <w:p w14:paraId="3A5BD620" w14:textId="43C932B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CCCCCC"/>
          </w:tcPr>
          <w:p w14:paraId="70325B1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940064C" w14:textId="77777777" w:rsidTr="0061045F">
        <w:tc>
          <w:tcPr>
            <w:tcW w:w="1937" w:type="dxa"/>
            <w:shd w:val="clear" w:color="auto" w:fill="auto"/>
          </w:tcPr>
          <w:p w14:paraId="6ACE2CB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6924B895"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38</w:t>
            </w:r>
          </w:p>
        </w:tc>
        <w:tc>
          <w:tcPr>
            <w:tcW w:w="1673" w:type="dxa"/>
            <w:shd w:val="clear" w:color="auto" w:fill="auto"/>
          </w:tcPr>
          <w:p w14:paraId="68D088CC" w14:textId="45B5DCC8"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272</w:t>
            </w:r>
          </w:p>
        </w:tc>
        <w:tc>
          <w:tcPr>
            <w:tcW w:w="1595" w:type="dxa"/>
            <w:shd w:val="clear" w:color="auto" w:fill="auto"/>
          </w:tcPr>
          <w:p w14:paraId="231CF718"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ED5A6E" w14:textId="77777777" w:rsidTr="00364DDD">
        <w:tc>
          <w:tcPr>
            <w:tcW w:w="1937" w:type="dxa"/>
            <w:shd w:val="clear" w:color="auto" w:fill="CCCCCC"/>
          </w:tcPr>
          <w:p w14:paraId="183E5C64"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3B6D6021"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633</w:t>
            </w:r>
          </w:p>
        </w:tc>
        <w:tc>
          <w:tcPr>
            <w:tcW w:w="1673" w:type="dxa"/>
            <w:shd w:val="clear" w:color="auto" w:fill="CCCCCC"/>
          </w:tcPr>
          <w:p w14:paraId="70353416" w14:textId="1ECD786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373,640</w:t>
            </w:r>
          </w:p>
        </w:tc>
        <w:tc>
          <w:tcPr>
            <w:tcW w:w="1595" w:type="dxa"/>
            <w:shd w:val="clear" w:color="auto" w:fill="CCCCCC"/>
          </w:tcPr>
          <w:p w14:paraId="441C336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1E49FB5" w14:textId="77777777" w:rsidTr="00364DDD">
        <w:tc>
          <w:tcPr>
            <w:tcW w:w="1937" w:type="dxa"/>
            <w:shd w:val="clear" w:color="auto" w:fill="auto"/>
          </w:tcPr>
          <w:p w14:paraId="4CAC74D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1C560DE4"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988</w:t>
            </w:r>
          </w:p>
        </w:tc>
        <w:tc>
          <w:tcPr>
            <w:tcW w:w="1673" w:type="dxa"/>
            <w:shd w:val="clear" w:color="auto" w:fill="auto"/>
          </w:tcPr>
          <w:p w14:paraId="77425F65"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67E6D914" w:rsidR="00744900" w:rsidRPr="00D117EE" w:rsidRDefault="00744900" w:rsidP="00744900">
            <w:pPr>
              <w:keepNext/>
              <w:contextualSpacing/>
              <w:jc w:val="center"/>
              <w:rPr>
                <w:rFonts w:ascii="Century Gothic" w:eastAsia="Times New Roman" w:hAnsi="Century Gothic" w:cs="Calibri"/>
                <w:color w:val="000000"/>
                <w:sz w:val="24"/>
                <w:szCs w:val="24"/>
                <w:highlight w:val="yellow"/>
              </w:rPr>
            </w:pPr>
            <w:r w:rsidRPr="00D117EE">
              <w:rPr>
                <w:rFonts w:ascii="Century Gothic" w:eastAsia="Times New Roman" w:hAnsi="Century Gothic" w:cs="Calibri"/>
                <w:color w:val="000000"/>
                <w:sz w:val="24"/>
                <w:szCs w:val="24"/>
              </w:rPr>
              <w:t>1,7</w:t>
            </w:r>
            <w:r>
              <w:rPr>
                <w:rFonts w:ascii="Century Gothic" w:eastAsia="Times New Roman" w:hAnsi="Century Gothic" w:cs="Calibri"/>
                <w:color w:val="000000"/>
                <w:sz w:val="24"/>
                <w:szCs w:val="24"/>
              </w:rPr>
              <w:t>60,289</w:t>
            </w:r>
          </w:p>
        </w:tc>
      </w:tr>
    </w:tbl>
    <w:p w14:paraId="63675A60" w14:textId="77777777" w:rsidR="00E241E2" w:rsidRPr="00E6113B" w:rsidRDefault="00E241E2" w:rsidP="0035278F">
      <w:pPr>
        <w:pStyle w:val="BodyText"/>
      </w:pPr>
    </w:p>
    <w:p w14:paraId="450C8C22" w14:textId="77777777" w:rsidR="00744900" w:rsidRDefault="00744900">
      <w:pPr>
        <w:widowControl/>
        <w:rPr>
          <w:rFonts w:ascii="Century Gothic" w:eastAsia="Arial" w:hAnsi="Century Gothic"/>
          <w:b/>
          <w:iCs/>
          <w:sz w:val="24"/>
          <w:szCs w:val="24"/>
        </w:rPr>
      </w:pPr>
      <w:r>
        <w:br w:type="page"/>
      </w:r>
    </w:p>
    <w:p w14:paraId="1D62D9CF" w14:textId="1A979A70" w:rsidR="0061045F" w:rsidRPr="00E6113B" w:rsidRDefault="006E3FEB" w:rsidP="00D10578">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2</w:t>
      </w:r>
      <w:r w:rsidRPr="00E6113B">
        <w:t>. Emergency Notice Statistics for Fiscal Years 14/15-</w:t>
      </w:r>
      <w:r w:rsidR="00B73060" w:rsidRPr="00E6113B">
        <w:t>22</w:t>
      </w:r>
      <w:r w:rsidR="0028409A" w:rsidRPr="00E6113B">
        <w:t>/</w:t>
      </w:r>
      <w:r w:rsidR="00B73060" w:rsidRPr="00E6113B">
        <w:t>23</w:t>
      </w:r>
    </w:p>
    <w:p w14:paraId="51D9FAA0" w14:textId="4F07D6CF" w:rsidR="00980470" w:rsidRPr="00E6113B" w:rsidRDefault="00980470" w:rsidP="00D10578">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61045F">
        <w:trPr>
          <w:trHeight w:val="928"/>
          <w:jc w:val="center"/>
        </w:trPr>
        <w:tc>
          <w:tcPr>
            <w:tcW w:w="1478" w:type="dxa"/>
            <w:shd w:val="clear" w:color="auto" w:fill="CCCCCC"/>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CCCCCC"/>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CCCCCC"/>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61045F">
        <w:trPr>
          <w:trHeight w:val="928"/>
          <w:jc w:val="center"/>
        </w:trPr>
        <w:tc>
          <w:tcPr>
            <w:tcW w:w="1478" w:type="dxa"/>
            <w:shd w:val="clear" w:color="auto" w:fill="auto"/>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auto"/>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1D67CD4B" w14:textId="5597A811" w:rsidR="00B73060" w:rsidRPr="00E6113B" w:rsidRDefault="008964D5" w:rsidP="001160BD">
            <w:pPr>
              <w:jc w:val="center"/>
              <w:rPr>
                <w:rFonts w:ascii="Century Gothic" w:hAnsi="Century Gothic" w:cs="Calibri"/>
                <w:sz w:val="24"/>
                <w:szCs w:val="24"/>
              </w:rPr>
            </w:pPr>
            <w:r>
              <w:rPr>
                <w:rFonts w:ascii="Century Gothic" w:hAnsi="Century Gothic" w:cs="Calibri"/>
                <w:sz w:val="24"/>
                <w:szCs w:val="24"/>
              </w:rPr>
              <w:t>299</w:t>
            </w:r>
          </w:p>
        </w:tc>
        <w:tc>
          <w:tcPr>
            <w:tcW w:w="1236" w:type="dxa"/>
            <w:shd w:val="clear" w:color="auto" w:fill="auto"/>
          </w:tcPr>
          <w:p w14:paraId="323B89B8" w14:textId="094E3C01"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65,646</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380C3D4" w14:textId="10D757F0" w:rsidR="00C97D9A" w:rsidRPr="00E6113B" w:rsidRDefault="00EC020E" w:rsidP="00DF6EE3">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w:t>
      </w:r>
      <w:bookmarkStart w:id="16" w:name="_Hlk25572491"/>
      <w:r w:rsidRPr="00E6113B">
        <w:rPr>
          <w:rFonts w:ascii="Century Gothic" w:hAnsi="Century Gothic"/>
          <w:i w:val="0"/>
          <w:iCs w:val="0"/>
          <w:color w:val="auto"/>
          <w:sz w:val="24"/>
          <w:szCs w:val="24"/>
        </w:rPr>
        <w:t xml:space="preserve">Calculated as Emergency Notices validated </w:t>
      </w:r>
      <w:bookmarkEnd w:id="16"/>
      <w:r w:rsidR="000E57A0" w:rsidRPr="00E6113B">
        <w:rPr>
          <w:rFonts w:ascii="Century Gothic" w:hAnsi="Century Gothic"/>
          <w:i w:val="0"/>
          <w:iCs w:val="0"/>
          <w:color w:val="auto"/>
          <w:sz w:val="24"/>
          <w:szCs w:val="24"/>
        </w:rPr>
        <w:t>by CAL FIRE review team between July 1 and June 30 of each FY.</w:t>
      </w:r>
    </w:p>
    <w:p w14:paraId="55E92AEC" w14:textId="77777777" w:rsidR="00C97D9A" w:rsidRPr="00E6113B" w:rsidRDefault="00C97D9A" w:rsidP="0035278F">
      <w:pPr>
        <w:pStyle w:val="BodyText"/>
      </w:pPr>
    </w:p>
    <w:p w14:paraId="0B47821F" w14:textId="77777777" w:rsidR="00744900" w:rsidRDefault="00744900">
      <w:pPr>
        <w:widowControl/>
        <w:rPr>
          <w:rFonts w:ascii="Century Gothic" w:eastAsia="Arial" w:hAnsi="Century Gothic"/>
          <w:b/>
          <w:iCs/>
          <w:sz w:val="24"/>
          <w:szCs w:val="24"/>
        </w:rPr>
      </w:pPr>
      <w:r>
        <w:br w:type="page"/>
      </w:r>
    </w:p>
    <w:p w14:paraId="5CF04D92" w14:textId="0D68DF34" w:rsidR="0015098E" w:rsidRPr="00E6113B" w:rsidRDefault="00000E72" w:rsidP="00D10578">
      <w:pPr>
        <w:pStyle w:val="Heading4"/>
        <w:rPr>
          <w:i/>
        </w:rPr>
      </w:pPr>
      <w:r w:rsidRPr="00E6113B">
        <w:lastRenderedPageBreak/>
        <w:t xml:space="preserve">Figure </w:t>
      </w:r>
      <w:r w:rsidR="0047567B" w:rsidRPr="00E6113B">
        <w:t>3</w:t>
      </w:r>
      <w:r w:rsidRPr="00E6113B">
        <w:t>. THP Statistics for Fiscal Years 11/12-</w:t>
      </w:r>
      <w:r w:rsidR="00B73060" w:rsidRPr="00E6113B">
        <w:t>22</w:t>
      </w:r>
      <w:r w:rsidR="00C97D9A" w:rsidRPr="00E6113B">
        <w:t>/</w:t>
      </w:r>
      <w:r w:rsidR="00B73060" w:rsidRPr="00E6113B">
        <w:t>23</w:t>
      </w:r>
    </w:p>
    <w:p w14:paraId="19DF5A9D" w14:textId="77777777" w:rsidR="00FF5BEB" w:rsidRPr="00E6113B" w:rsidRDefault="00FF5BEB" w:rsidP="0035278F">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059FE71C"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w:t>
            </w:r>
            <w:r w:rsidR="008964D5">
              <w:rPr>
                <w:rFonts w:ascii="Century Gothic" w:hAnsi="Century Gothic" w:cs="Calibri"/>
                <w:sz w:val="24"/>
                <w:szCs w:val="24"/>
              </w:rPr>
              <w:t>74</w:t>
            </w:r>
          </w:p>
        </w:tc>
        <w:tc>
          <w:tcPr>
            <w:tcW w:w="1759" w:type="dxa"/>
            <w:shd w:val="clear" w:color="auto" w:fill="auto"/>
          </w:tcPr>
          <w:p w14:paraId="0B4FDBE9" w14:textId="2A89F678"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56,414</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17" w:name="_Hlk124173366"/>
      <w:r w:rsidR="000E57A0" w:rsidRPr="00E6113B">
        <w:rPr>
          <w:rFonts w:ascii="Century Gothic" w:hAnsi="Century Gothic"/>
          <w:i w:val="0"/>
          <w:iCs w:val="0"/>
          <w:color w:val="auto"/>
          <w:sz w:val="24"/>
          <w:szCs w:val="24"/>
        </w:rPr>
        <w:t>by CAL FIRE review team between July 1 and June 30 of each FY</w:t>
      </w:r>
      <w:bookmarkEnd w:id="17"/>
      <w:r w:rsidR="000E57A0" w:rsidRPr="00E6113B">
        <w:rPr>
          <w:rFonts w:ascii="Century Gothic" w:hAnsi="Century Gothic"/>
          <w:i w:val="0"/>
          <w:iCs w:val="0"/>
          <w:color w:val="auto"/>
          <w:sz w:val="24"/>
          <w:szCs w:val="24"/>
        </w:rPr>
        <w:t>.</w:t>
      </w:r>
    </w:p>
    <w:p w14:paraId="255DA896" w14:textId="77777777" w:rsidR="00744900" w:rsidRDefault="00744900">
      <w:pPr>
        <w:widowControl/>
        <w:rPr>
          <w:rFonts w:ascii="Century Gothic" w:eastAsia="Arial" w:hAnsi="Century Gothic"/>
          <w:b/>
          <w:iCs/>
          <w:sz w:val="24"/>
          <w:szCs w:val="24"/>
        </w:rPr>
      </w:pPr>
      <w:r>
        <w:br w:type="page"/>
      </w:r>
    </w:p>
    <w:p w14:paraId="65462862" w14:textId="51578387" w:rsidR="0061045F" w:rsidRPr="00E6113B" w:rsidRDefault="0015098E" w:rsidP="00D10578">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4</w:t>
      </w:r>
      <w:r w:rsidRPr="00E6113B">
        <w:t>. NTMP Statistics for Fiscal Years 11/12-</w:t>
      </w:r>
      <w:bookmarkStart w:id="18" w:name="_Hlk25563885"/>
      <w:r w:rsidR="00380123" w:rsidRPr="00E6113B">
        <w:t>22</w:t>
      </w:r>
      <w:r w:rsidR="00C97D9A" w:rsidRPr="00E6113B">
        <w:t>/</w:t>
      </w:r>
      <w:r w:rsidR="00B73060" w:rsidRPr="00E6113B">
        <w:t>23</w:t>
      </w:r>
    </w:p>
    <w:p w14:paraId="5C445744" w14:textId="3BF1BF31" w:rsidR="00FF5BEB" w:rsidRPr="00E6113B" w:rsidRDefault="00FF5BEB" w:rsidP="00D10578">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52130FB0" w:rsidR="00B73060" w:rsidRPr="00E6113B" w:rsidRDefault="008964D5" w:rsidP="001160BD">
            <w:pPr>
              <w:jc w:val="center"/>
              <w:rPr>
                <w:rFonts w:ascii="Century Gothic" w:hAnsi="Century Gothic"/>
                <w:sz w:val="24"/>
                <w:szCs w:val="24"/>
              </w:rPr>
            </w:pPr>
            <w:r>
              <w:rPr>
                <w:rFonts w:ascii="Century Gothic" w:hAnsi="Century Gothic"/>
                <w:sz w:val="24"/>
                <w:szCs w:val="24"/>
              </w:rPr>
              <w:t>9</w:t>
            </w:r>
          </w:p>
        </w:tc>
        <w:tc>
          <w:tcPr>
            <w:tcW w:w="1426" w:type="dxa"/>
            <w:shd w:val="clear" w:color="auto" w:fill="auto"/>
          </w:tcPr>
          <w:p w14:paraId="3FE51A76" w14:textId="19C97CCA" w:rsidR="00B73060" w:rsidRPr="00E6113B" w:rsidRDefault="008964D5" w:rsidP="001160BD">
            <w:pPr>
              <w:jc w:val="center"/>
              <w:rPr>
                <w:rFonts w:ascii="Century Gothic" w:hAnsi="Century Gothic"/>
                <w:sz w:val="24"/>
                <w:szCs w:val="24"/>
              </w:rPr>
            </w:pPr>
            <w:r>
              <w:rPr>
                <w:rFonts w:ascii="Century Gothic" w:hAnsi="Century Gothic"/>
                <w:sz w:val="24"/>
                <w:szCs w:val="24"/>
              </w:rPr>
              <w:t>2,482</w:t>
            </w:r>
          </w:p>
        </w:tc>
      </w:tr>
      <w:bookmarkEnd w:id="18"/>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195E0E72" w14:textId="1D5A94F9" w:rsidR="00C97D9A" w:rsidRPr="00E6113B" w:rsidRDefault="00296D26" w:rsidP="00296D26">
      <w:pPr>
        <w:pStyle w:val="Caption"/>
        <w:keepLines/>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p>
    <w:p w14:paraId="647203F6" w14:textId="77777777" w:rsidR="004B2C57" w:rsidRPr="00E6113B" w:rsidRDefault="004B2C57" w:rsidP="0035278F">
      <w:pPr>
        <w:pStyle w:val="BodyText"/>
      </w:pPr>
    </w:p>
    <w:p w14:paraId="58052011" w14:textId="77777777" w:rsidR="00B73060" w:rsidRPr="00E6113B" w:rsidRDefault="00B73060" w:rsidP="00395F9A">
      <w:pPr>
        <w:pStyle w:val="Heading2"/>
        <w:rPr>
          <w:rFonts w:ascii="Century Gothic" w:hAnsi="Century Gothic"/>
          <w:i w:val="0"/>
          <w:iCs/>
        </w:rPr>
        <w:sectPr w:rsidR="00B73060" w:rsidRPr="00E6113B" w:rsidSect="004E4589">
          <w:footnotePr>
            <w:pos w:val="beneathText"/>
          </w:footnotePr>
          <w:type w:val="continuous"/>
          <w:pgSz w:w="12240" w:h="15840"/>
          <w:pgMar w:top="1440" w:right="720" w:bottom="1440" w:left="720" w:header="736" w:footer="1048" w:gutter="0"/>
          <w:cols w:space="720"/>
          <w:docGrid w:linePitch="299"/>
        </w:sectPr>
      </w:pPr>
      <w:bookmarkStart w:id="19" w:name="_Hlk124257513"/>
      <w:bookmarkStart w:id="20" w:name="_Toc89188559"/>
    </w:p>
    <w:p w14:paraId="6E61BF7A" w14:textId="02C5781C" w:rsidR="004A5119" w:rsidRPr="00E6113B" w:rsidRDefault="004A5119" w:rsidP="00D10578">
      <w:pPr>
        <w:widowControl/>
        <w:rPr>
          <w:i/>
        </w:rPr>
      </w:pPr>
      <w:r w:rsidRPr="00D10578">
        <w:rPr>
          <w:rFonts w:ascii="Century Gothic" w:hAnsi="Century Gothic" w:cs="Arial"/>
          <w:b/>
          <w:iCs/>
          <w:sz w:val="24"/>
          <w:szCs w:val="24"/>
        </w:rPr>
        <w:t>Timber Harvesting Volumes</w:t>
      </w:r>
    </w:p>
    <w:p w14:paraId="3FE43198" w14:textId="4AEFFDB5" w:rsidR="00380123" w:rsidRPr="006564C4" w:rsidRDefault="003A5C74" w:rsidP="006564C4">
      <w:pPr>
        <w:pStyle w:val="Caption"/>
        <w:keepLines/>
        <w:rPr>
          <w:rFonts w:ascii="Century Gothic" w:hAnsi="Century Gothic"/>
          <w:i w:val="0"/>
          <w:iCs w:val="0"/>
          <w:color w:val="auto"/>
          <w:sz w:val="24"/>
          <w:szCs w:val="24"/>
        </w:rPr>
        <w:sectPr w:rsidR="00380123" w:rsidRPr="006564C4" w:rsidSect="004E4589">
          <w:footnotePr>
            <w:pos w:val="beneathText"/>
          </w:footnotePr>
          <w:type w:val="continuous"/>
          <w:pgSz w:w="12240" w:h="15840"/>
          <w:pgMar w:top="1440" w:right="720" w:bottom="1440" w:left="720" w:header="736" w:footer="1048" w:gutter="0"/>
          <w:cols w:space="720"/>
          <w:docGrid w:linePitch="299"/>
        </w:sectPr>
      </w:pPr>
      <w:r w:rsidRPr="006564C4">
        <w:rPr>
          <w:rFonts w:ascii="Century Gothic" w:hAnsi="Century Gothic"/>
          <w:i w:val="0"/>
          <w:iCs w:val="0"/>
          <w:color w:val="auto"/>
          <w:sz w:val="24"/>
          <w:szCs w:val="24"/>
        </w:rPr>
        <w:t xml:space="preserve">The </w:t>
      </w:r>
      <w:r w:rsidR="00D2608F" w:rsidRPr="006564C4">
        <w:rPr>
          <w:rFonts w:ascii="Century Gothic" w:hAnsi="Century Gothic"/>
          <w:i w:val="0"/>
          <w:iCs w:val="0"/>
          <w:color w:val="auto"/>
          <w:sz w:val="24"/>
          <w:szCs w:val="24"/>
        </w:rPr>
        <w:t>2023 timber harvesting volume data has an error that has not been fixed at the time of report publication. 2023 numbers will be included in the 2024 Annual Report.</w:t>
      </w:r>
    </w:p>
    <w:bookmarkEnd w:id="19"/>
    <w:p w14:paraId="07CA2822" w14:textId="77777777" w:rsidR="00744900" w:rsidRDefault="00744900">
      <w:pPr>
        <w:widowControl/>
        <w:rPr>
          <w:rFonts w:ascii="Century Gothic" w:eastAsia="Arial" w:hAnsi="Century Gothic"/>
          <w:b/>
          <w:bCs/>
          <w:i/>
          <w:iCs/>
          <w:sz w:val="28"/>
          <w:szCs w:val="28"/>
        </w:rPr>
      </w:pPr>
      <w:r>
        <w:br w:type="page"/>
      </w:r>
    </w:p>
    <w:p w14:paraId="48746453" w14:textId="15195477" w:rsidR="00D55A13" w:rsidRPr="00E6113B" w:rsidRDefault="00D55A13" w:rsidP="00F3046E">
      <w:pPr>
        <w:pStyle w:val="Heading1"/>
      </w:pPr>
      <w:bookmarkStart w:id="21" w:name="_Toc169083975"/>
      <w:r w:rsidRPr="00E6113B">
        <w:lastRenderedPageBreak/>
        <w:t xml:space="preserve">Fire Protection </w:t>
      </w:r>
      <w:r w:rsidR="00C519DE" w:rsidRPr="00E6113B">
        <w:t>Trends</w:t>
      </w:r>
      <w:bookmarkEnd w:id="20"/>
      <w:bookmarkEnd w:id="21"/>
    </w:p>
    <w:p w14:paraId="3FC77005" w14:textId="520156D2" w:rsidR="009120AF" w:rsidRPr="00E6113B" w:rsidRDefault="00B85FE3" w:rsidP="00F14739">
      <w:pPr>
        <w:pStyle w:val="Heading2"/>
        <w:keepNext/>
        <w:spacing w:after="240"/>
        <w:ind w:left="0"/>
        <w:rPr>
          <w:rFonts w:ascii="Century Gothic" w:hAnsi="Century Gothic"/>
        </w:rPr>
      </w:pPr>
      <w:bookmarkStart w:id="22" w:name="_Toc89188560"/>
      <w:bookmarkStart w:id="23" w:name="_Toc169083976"/>
      <w:r w:rsidRPr="00E6113B">
        <w:rPr>
          <w:rFonts w:ascii="Century Gothic" w:hAnsi="Century Gothic"/>
        </w:rPr>
        <w:t>Weather Patterns</w:t>
      </w:r>
      <w:bookmarkEnd w:id="22"/>
      <w:bookmarkEnd w:id="23"/>
    </w:p>
    <w:p w14:paraId="392C0A46"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Water Year 2023 showcased California's extreme weather patterns – a dramatic shift from historic drought to intense flooding. This "weather whiplash" led to simultaneous drought and flood emergency proclamations by the Governor. While the drought proclamation was scaled back, it remains in effect for ongoing response. Following three record-dry years, Water Year 2023 was exceptionally wet, with 141% of average precipitation statewide and a massive 237% of average Sierra-Cascades snowpack. The Colorado River Basin, vital to Southern California, also benefited. While this year's snowpack rivals historic levels, precise comparisons are difficult due to changing measurement technologies.</w:t>
      </w:r>
    </w:p>
    <w:p w14:paraId="6992E03E" w14:textId="77777777" w:rsidR="001065E3"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Cooler temperatures allowed for a gradual snowmelt, a welcome change from recent years. The water year began dry, but shifted abruptly in late December with powerful atmospheric rivers. These storms brought about half the year's precipitation within three weeks, leading to further emergency declarations. The Central and Southern Sierra were especially hard-hit, experiencing significant flooding. Southern California faced unusual late-summer tropical storms, setting precipitation records and causing localized flooding. Warmer-than-average Pacific Ocean conditions contributed to these events.</w:t>
      </w:r>
    </w:p>
    <w:p w14:paraId="4A21D3F9" w14:textId="77777777"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73777DCB" w14:textId="77777777" w:rsidR="00141E4D" w:rsidRPr="00E6113B" w:rsidRDefault="00141E4D" w:rsidP="001065E3">
      <w:pPr>
        <w:spacing w:after="240"/>
        <w:rPr>
          <w:rFonts w:ascii="Century Gothic" w:eastAsia="Arial" w:hAnsi="Century Gothic" w:cs="Calibri"/>
          <w:sz w:val="24"/>
          <w:szCs w:val="24"/>
        </w:rPr>
      </w:pPr>
    </w:p>
    <w:p w14:paraId="4EE1170D" w14:textId="33D2F668" w:rsidR="003C2B9A" w:rsidRPr="00E6113B" w:rsidRDefault="003C2B9A" w:rsidP="00D10578">
      <w:pPr>
        <w:pStyle w:val="Heading4"/>
      </w:pPr>
      <w:r w:rsidRPr="00E6113B">
        <w:br w:type="page"/>
      </w:r>
    </w:p>
    <w:p w14:paraId="07B39342" w14:textId="4B908BF8" w:rsidR="00517B4C" w:rsidRPr="00E6113B" w:rsidRDefault="00A225A9" w:rsidP="00D10578">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744900">
        <w:t>5</w:t>
      </w:r>
      <w:r w:rsidRPr="00E6113B">
        <w:t xml:space="preserve">. Precipitation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DA0BC2" w:rsidRPr="00E6113B">
        <w:t xml:space="preserve">2023 </w:t>
      </w:r>
      <w:r w:rsidRPr="00E6113B">
        <w:t>When Compared with Local Averages from 1895-</w:t>
      </w:r>
      <w:r w:rsidR="00DA0BC2" w:rsidRPr="00E6113B">
        <w:t>2023</w:t>
      </w:r>
      <w:r w:rsidRPr="00E6113B">
        <w:t>. NOAA National Centers for Environmental Information.</w:t>
      </w:r>
      <w:r w:rsidR="000531FC" w:rsidRPr="00E6113B">
        <w:rPr>
          <w:rStyle w:val="FootnoteReference"/>
          <w:b w:val="0"/>
          <w:i/>
          <w:sz w:val="26"/>
        </w:rPr>
        <w:footnoteReference w:id="2"/>
      </w:r>
    </w:p>
    <w:p w14:paraId="6561380D" w14:textId="269466FD" w:rsidR="009670C5" w:rsidRPr="00E6113B" w:rsidRDefault="009670C5" w:rsidP="00D10578">
      <w:pPr>
        <w:pStyle w:val="Heading4"/>
      </w:pPr>
    </w:p>
    <w:p w14:paraId="2A9409C1" w14:textId="3F577213" w:rsidR="009670C5" w:rsidRPr="00E6113B" w:rsidRDefault="00BF3336" w:rsidP="00D10578">
      <w:pPr>
        <w:pStyle w:val="Heading4"/>
      </w:pPr>
      <w:r w:rsidRPr="00E6113B">
        <w:rPr>
          <w:noProof/>
        </w:rPr>
        <w:drawing>
          <wp:inline distT="0" distB="0" distL="0" distR="0" wp14:anchorId="36F8C4BA" wp14:editId="3A7D616A">
            <wp:extent cx="7194885" cy="5257800"/>
            <wp:effectExtent l="0" t="0" r="635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7197465" cy="5259685"/>
                    </a:xfrm>
                    <a:prstGeom prst="rect">
                      <a:avLst/>
                    </a:prstGeom>
                    <a:noFill/>
                    <a:ln>
                      <a:noFill/>
                    </a:ln>
                  </pic:spPr>
                </pic:pic>
              </a:graphicData>
            </a:graphic>
          </wp:inline>
        </w:drawing>
      </w:r>
    </w:p>
    <w:p w14:paraId="72DECE97" w14:textId="75EB6BFA" w:rsidR="003C2B9A" w:rsidRPr="00E6113B" w:rsidRDefault="003C2B9A" w:rsidP="00D10578">
      <w:pPr>
        <w:pStyle w:val="Heading4"/>
      </w:pPr>
      <w:r w:rsidRPr="00E6113B">
        <w:br w:type="page"/>
      </w:r>
    </w:p>
    <w:p w14:paraId="639A5CC4" w14:textId="77777777" w:rsidR="009670C5" w:rsidRPr="00E6113B" w:rsidRDefault="009670C5" w:rsidP="00D10578">
      <w:pPr>
        <w:pStyle w:val="Heading4"/>
      </w:pPr>
    </w:p>
    <w:p w14:paraId="71EC6A38" w14:textId="2A7C4A64" w:rsidR="00517B4C" w:rsidRPr="00E6113B" w:rsidRDefault="00F14739" w:rsidP="00D10578">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744900">
        <w:t>6</w:t>
      </w:r>
      <w:r w:rsidRPr="00E6113B">
        <w:t>. Temperature Rankings for January-</w:t>
      </w:r>
      <w:r w:rsidR="001C7EB3" w:rsidRPr="00E6113B">
        <w:t>December</w:t>
      </w:r>
      <w:r w:rsidRPr="00E6113B">
        <w:t xml:space="preserve"> </w:t>
      </w:r>
      <w:r w:rsidR="009C7106" w:rsidRPr="00E6113B">
        <w:t xml:space="preserve">2023 </w:t>
      </w:r>
      <w:r w:rsidRPr="00E6113B">
        <w:t>When Compared with Local Averages from 1895-</w:t>
      </w:r>
      <w:r w:rsidR="009C7106" w:rsidRPr="00E6113B">
        <w:t>2023</w:t>
      </w:r>
      <w:r w:rsidRPr="00E6113B">
        <w:t>. NOAA National Centers for Environmental Information</w:t>
      </w:r>
      <w:r w:rsidR="009C5CC8" w:rsidRPr="00E6113B">
        <w:t>.</w:t>
      </w:r>
    </w:p>
    <w:p w14:paraId="14D75492" w14:textId="6F09A6D2" w:rsidR="009670C5" w:rsidRPr="00E6113B" w:rsidRDefault="009670C5" w:rsidP="00D10578">
      <w:pPr>
        <w:pStyle w:val="Heading4"/>
      </w:pPr>
    </w:p>
    <w:p w14:paraId="48E56D3A" w14:textId="686A4855" w:rsidR="003C2B9A" w:rsidRPr="00E6113B" w:rsidRDefault="00BF3336" w:rsidP="00D10578">
      <w:pPr>
        <w:pStyle w:val="Heading4"/>
      </w:pPr>
      <w:r w:rsidRPr="00E6113B">
        <w:rPr>
          <w:noProof/>
        </w:rPr>
        <w:drawing>
          <wp:inline distT="0" distB="0" distL="0" distR="0" wp14:anchorId="65D1FC77" wp14:editId="770EF12D">
            <wp:extent cx="7260056" cy="53054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263783"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D10578">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0AF6DF47" w14:textId="77777777" w:rsidR="00744900" w:rsidRDefault="00744900">
      <w:pPr>
        <w:widowControl/>
        <w:rPr>
          <w:rFonts w:ascii="Century Gothic" w:eastAsia="Arial" w:hAnsi="Century Gothic"/>
          <w:b/>
          <w:iCs/>
          <w:sz w:val="24"/>
          <w:szCs w:val="24"/>
        </w:rPr>
      </w:pPr>
      <w:r>
        <w:br w:type="page"/>
      </w:r>
    </w:p>
    <w:p w14:paraId="0EAB762E" w14:textId="437F6FF5" w:rsidR="00C844F4" w:rsidRPr="00E6113B" w:rsidRDefault="00C844F4" w:rsidP="00D10578">
      <w:pPr>
        <w:pStyle w:val="Heading4"/>
        <w:rPr>
          <w:rStyle w:val="CommentReference"/>
          <w:i/>
          <w:sz w:val="24"/>
          <w:szCs w:val="24"/>
        </w:rPr>
      </w:pPr>
      <w:r w:rsidRPr="00E6113B">
        <w:lastRenderedPageBreak/>
        <w:t xml:space="preserve">Figure </w:t>
      </w:r>
      <w:r w:rsidR="00744900">
        <w:t>7</w:t>
      </w:r>
      <w:r w:rsidRPr="00E6113B">
        <w:t xml:space="preserve">. </w:t>
      </w:r>
      <w:bookmarkStart w:id="24" w:name="_Hlk87890677"/>
      <w:bookmarkStart w:id="25" w:name="_Hlk159943109"/>
      <w:r w:rsidRPr="00E6113B">
        <w:t>California Snow Water Content</w:t>
      </w:r>
      <w:bookmarkEnd w:id="24"/>
      <w:r w:rsidRPr="00E6113B">
        <w:t>,</w:t>
      </w:r>
      <w:r w:rsidR="00CF0F5D" w:rsidRPr="00E6113B">
        <w:rPr>
          <w:rStyle w:val="FootnoteReference"/>
          <w:b w:val="0"/>
          <w:i/>
        </w:rPr>
        <w:footnoteReference w:id="3"/>
      </w:r>
      <w:r w:rsidRPr="00E6113B">
        <w:t xml:space="preserve"> </w:t>
      </w:r>
      <w:r w:rsidR="00C67972" w:rsidRPr="00E6113B">
        <w:t>February 16</w:t>
      </w:r>
      <w:r w:rsidRPr="00E6113B">
        <w:t xml:space="preserve">, </w:t>
      </w:r>
      <w:r w:rsidR="00C67972" w:rsidRPr="00E6113B">
        <w:t>2024</w:t>
      </w:r>
      <w:r w:rsidRPr="00E6113B">
        <w:t>, Percent of April 1 Average. California Department of Water Resources</w:t>
      </w:r>
      <w:r w:rsidR="00444934" w:rsidRPr="00E6113B">
        <w:t>.</w:t>
      </w:r>
      <w:r w:rsidR="00BE0664" w:rsidRPr="00E6113B">
        <w:rPr>
          <w:rStyle w:val="CommentReference"/>
          <w:i/>
          <w:sz w:val="24"/>
          <w:szCs w:val="24"/>
        </w:rPr>
        <w:t xml:space="preserve"> </w:t>
      </w:r>
    </w:p>
    <w:bookmarkEnd w:id="25"/>
    <w:p w14:paraId="41618F69" w14:textId="77777777" w:rsidR="00A159BF" w:rsidRPr="00E6113B" w:rsidRDefault="00A159BF" w:rsidP="00D10578">
      <w:pPr>
        <w:pStyle w:val="Heading4"/>
      </w:pPr>
    </w:p>
    <w:p w14:paraId="529F060A" w14:textId="73DCE192" w:rsidR="009670C5" w:rsidRPr="00E6113B" w:rsidRDefault="00BF3336" w:rsidP="003E79E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A672791" wp14:editId="13474B1A">
            <wp:extent cx="7010400" cy="5242381"/>
            <wp:effectExtent l="0" t="0" r="0" b="0"/>
            <wp:docPr id="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010400" cy="5242381"/>
                    </a:xfrm>
                    <a:prstGeom prst="rect">
                      <a:avLst/>
                    </a:prstGeom>
                    <a:noFill/>
                    <a:ln>
                      <a:noFill/>
                    </a:ln>
                  </pic:spPr>
                </pic:pic>
              </a:graphicData>
            </a:graphic>
          </wp:inline>
        </w:drawing>
      </w:r>
    </w:p>
    <w:p w14:paraId="132C1736" w14:textId="77777777" w:rsidR="00744900" w:rsidRDefault="00744900">
      <w:pPr>
        <w:widowControl/>
        <w:rPr>
          <w:rFonts w:ascii="Century Gothic" w:eastAsia="Arial" w:hAnsi="Century Gothic" w:cs="Calibri"/>
          <w:b/>
          <w:bCs/>
          <w:i/>
          <w:sz w:val="28"/>
          <w:szCs w:val="28"/>
        </w:rPr>
      </w:pPr>
      <w:bookmarkStart w:id="26" w:name="_Toc89188561"/>
      <w:bookmarkStart w:id="27" w:name="_Hlk88058033"/>
      <w:r>
        <w:rPr>
          <w:rFonts w:ascii="Century Gothic" w:hAnsi="Century Gothic" w:cs="Calibri"/>
        </w:rPr>
        <w:br w:type="page"/>
      </w:r>
    </w:p>
    <w:p w14:paraId="06A0D731" w14:textId="41F9472B" w:rsidR="00DF2340" w:rsidRPr="00E6113B" w:rsidRDefault="00DF2340" w:rsidP="00F14739">
      <w:pPr>
        <w:pStyle w:val="Heading2"/>
        <w:keepNext/>
        <w:spacing w:before="480" w:after="240"/>
        <w:ind w:left="0"/>
        <w:rPr>
          <w:rFonts w:ascii="Century Gothic" w:hAnsi="Century Gothic" w:cs="Calibri"/>
        </w:rPr>
      </w:pPr>
      <w:bookmarkStart w:id="28" w:name="_Toc169083977"/>
      <w:r w:rsidRPr="00E6113B">
        <w:rPr>
          <w:rFonts w:ascii="Century Gothic" w:hAnsi="Century Gothic" w:cs="Calibri"/>
        </w:rPr>
        <w:lastRenderedPageBreak/>
        <w:t>Prescribed Fire and Fuel Reduction Efforts</w:t>
      </w:r>
      <w:bookmarkEnd w:id="26"/>
      <w:bookmarkEnd w:id="28"/>
    </w:p>
    <w:p w14:paraId="444AC2E4" w14:textId="4A86ECD6" w:rsidR="00DF2340"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As fire size and severity </w:t>
      </w:r>
      <w:r w:rsidR="00F947B4" w:rsidRPr="00E6113B">
        <w:rPr>
          <w:rFonts w:ascii="Century Gothic" w:hAnsi="Century Gothic" w:cs="Calibri"/>
          <w:spacing w:val="-2"/>
          <w:sz w:val="24"/>
          <w:szCs w:val="24"/>
        </w:rPr>
        <w:t>have</w:t>
      </w:r>
      <w:r w:rsidRPr="00E6113B">
        <w:rPr>
          <w:rFonts w:ascii="Century Gothic" w:hAnsi="Century Gothic" w:cs="Calibri"/>
          <w:spacing w:val="-2"/>
          <w:sz w:val="24"/>
          <w:szCs w:val="24"/>
        </w:rPr>
        <w:t xml:space="preserve"> worsened over the past decade, </w:t>
      </w:r>
      <w:r w:rsidR="00F947B4" w:rsidRPr="00E6113B">
        <w:rPr>
          <w:rFonts w:ascii="Century Gothic" w:hAnsi="Century Gothic" w:cs="Calibri"/>
          <w:spacing w:val="-2"/>
          <w:sz w:val="24"/>
          <w:szCs w:val="24"/>
        </w:rPr>
        <w:t>mandates to focus on fuels reduction treatments have arisen</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 xml:space="preserve">In 2018, Executive Order B-52-18 from then-governor Brown ordered the doubling of </w:t>
      </w:r>
      <w:r w:rsidR="00690132" w:rsidRPr="00E6113B">
        <w:rPr>
          <w:rFonts w:ascii="Century Gothic" w:hAnsi="Century Gothic" w:cs="Calibri"/>
          <w:spacing w:val="-2"/>
          <w:sz w:val="24"/>
          <w:szCs w:val="24"/>
        </w:rPr>
        <w:t xml:space="preserve">forest </w:t>
      </w:r>
      <w:r w:rsidR="00F947B4" w:rsidRPr="00E6113B">
        <w:rPr>
          <w:rFonts w:ascii="Century Gothic" w:hAnsi="Century Gothic" w:cs="Calibri"/>
          <w:spacing w:val="-2"/>
          <w:sz w:val="24"/>
          <w:szCs w:val="24"/>
        </w:rPr>
        <w:t xml:space="preserve">acres treated per year from 250,000 to 500,000 </w:t>
      </w:r>
      <w:r w:rsidR="00026B86" w:rsidRPr="00E6113B">
        <w:rPr>
          <w:rFonts w:ascii="Century Gothic" w:hAnsi="Century Gothic" w:cs="Calibri"/>
          <w:spacing w:val="-2"/>
          <w:sz w:val="24"/>
          <w:szCs w:val="24"/>
        </w:rPr>
        <w:t xml:space="preserve">statewide </w:t>
      </w:r>
      <w:r w:rsidR="00F947B4" w:rsidRPr="00E6113B">
        <w:rPr>
          <w:rFonts w:ascii="Century Gothic" w:hAnsi="Century Gothic" w:cs="Calibri"/>
          <w:spacing w:val="-2"/>
          <w:sz w:val="24"/>
          <w:szCs w:val="24"/>
        </w:rPr>
        <w:t xml:space="preserve">within five years. The expanded use of fuels treatments to prevent catastrophic wildfire continues to be a high priority for the Board and CAL FIRE. </w:t>
      </w:r>
      <w:r w:rsidRPr="00E6113B">
        <w:rPr>
          <w:rFonts w:ascii="Century Gothic" w:hAnsi="Century Gothic" w:cs="Calibr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E6113B">
        <w:rPr>
          <w:rFonts w:ascii="Century Gothic" w:hAnsi="Century Gothic" w:cs="Calibri"/>
          <w:spacing w:val="-2"/>
          <w:sz w:val="24"/>
          <w:szCs w:val="24"/>
        </w:rPr>
        <w:t>because of</w:t>
      </w:r>
      <w:r w:rsidRPr="00E6113B">
        <w:rPr>
          <w:rFonts w:ascii="Century Gothic" w:hAnsi="Century Gothic" w:cs="Calibri"/>
          <w:spacing w:val="-2"/>
          <w:sz w:val="24"/>
          <w:szCs w:val="24"/>
        </w:rPr>
        <w:t xml:space="preserve"> fuel reduction efforts may prevent loss of </w:t>
      </w:r>
      <w:r w:rsidR="006555CF" w:rsidRPr="00E6113B">
        <w:rPr>
          <w:rFonts w:ascii="Century Gothic" w:hAnsi="Century Gothic" w:cs="Calibri"/>
          <w:spacing w:val="-2"/>
          <w:sz w:val="24"/>
          <w:szCs w:val="24"/>
        </w:rPr>
        <w:t>life</w:t>
      </w:r>
      <w:r w:rsidRPr="00E6113B">
        <w:rPr>
          <w:rFonts w:ascii="Century Gothic" w:hAnsi="Century Gothic" w:cs="Calibri"/>
          <w:spacing w:val="-2"/>
          <w:sz w:val="24"/>
          <w:szCs w:val="24"/>
        </w:rPr>
        <w:t>, reduce fire suppression cost</w:t>
      </w:r>
      <w:r w:rsidR="00E7575C"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E6113B">
        <w:rPr>
          <w:rFonts w:ascii="Century Gothic" w:hAnsi="Century Gothic" w:cs="Calibri"/>
          <w:spacing w:val="-2"/>
          <w:sz w:val="24"/>
          <w:szCs w:val="24"/>
        </w:rPr>
        <w:t>application of the FPRs</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EO B-52-18 also encouraged the use of prescribed fire as a management tool.</w:t>
      </w:r>
    </w:p>
    <w:p w14:paraId="33DA4A22" w14:textId="4A05735A" w:rsidR="00E00C6F"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CAL FIRE’s Vegetation Management Program (VMP) is a cost-sharing program that encourages fuel reduction in </w:t>
      </w:r>
      <w:r w:rsidR="00EF41FD" w:rsidRPr="00E6113B">
        <w:rPr>
          <w:rFonts w:ascii="Century Gothic" w:hAnsi="Century Gothic" w:cs="Calibri"/>
          <w:spacing w:val="-2"/>
          <w:sz w:val="24"/>
          <w:szCs w:val="24"/>
        </w:rPr>
        <w:t>state responsibility area lands</w:t>
      </w:r>
      <w:r w:rsidRPr="00E6113B">
        <w:rPr>
          <w:rFonts w:ascii="Century Gothic" w:hAnsi="Century Gothic" w:cs="Calibri"/>
          <w:spacing w:val="-2"/>
          <w:sz w:val="24"/>
          <w:szCs w:val="24"/>
        </w:rPr>
        <w:t xml:space="preserve"> </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SRA</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focuses on prescribed fire. The use of fi</w:t>
      </w:r>
      <w:r w:rsidR="00A41D95" w:rsidRPr="00E6113B">
        <w:rPr>
          <w:rFonts w:ascii="Century Gothic" w:hAnsi="Century Gothic" w:cs="Calibri"/>
          <w:spacing w:val="-2"/>
          <w:sz w:val="24"/>
          <w:szCs w:val="24"/>
        </w:rPr>
        <w:t xml:space="preserve">re mimics natural processes, </w:t>
      </w:r>
      <w:r w:rsidRPr="00E6113B">
        <w:rPr>
          <w:rFonts w:ascii="Century Gothic" w:hAnsi="Century Gothic" w:cs="Calibri"/>
          <w:spacing w:val="-2"/>
          <w:sz w:val="24"/>
          <w:szCs w:val="24"/>
        </w:rPr>
        <w:t>enables fuel reduction</w:t>
      </w:r>
      <w:r w:rsidR="00A41D95"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restores fire to its historic role in wildland ecosystems</w:t>
      </w:r>
      <w:r w:rsidR="00E7575C"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may improve native communities. The VMP can be utilized by private </w:t>
      </w:r>
      <w:r w:rsidR="00477A38"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to accomplish fuel reduction goals on their property using prescribed fire and other fuel management techniques. Figures </w:t>
      </w:r>
      <w:r w:rsidR="00744900">
        <w:rPr>
          <w:rFonts w:ascii="Century Gothic" w:hAnsi="Century Gothic" w:cs="Calibri"/>
          <w:spacing w:val="-2"/>
          <w:sz w:val="24"/>
          <w:szCs w:val="24"/>
        </w:rPr>
        <w:t>8 and 9</w:t>
      </w:r>
      <w:r w:rsidRPr="00E6113B">
        <w:rPr>
          <w:rFonts w:ascii="Century Gothic" w:hAnsi="Century Gothic" w:cs="Calibri"/>
          <w:spacing w:val="-2"/>
          <w:sz w:val="24"/>
          <w:szCs w:val="24"/>
        </w:rPr>
        <w:t xml:space="preserve"> below illustrate the acreage goals and number of acres treated in the </w:t>
      </w:r>
      <w:r w:rsidR="00181E87" w:rsidRPr="00E6113B">
        <w:rPr>
          <w:rFonts w:ascii="Century Gothic" w:hAnsi="Century Gothic" w:cs="Calibri"/>
          <w:spacing w:val="-2"/>
          <w:sz w:val="24"/>
          <w:szCs w:val="24"/>
        </w:rPr>
        <w:t>three most recent fiscal years</w:t>
      </w:r>
      <w:r w:rsidRPr="00E6113B">
        <w:rPr>
          <w:rFonts w:ascii="Century Gothic" w:hAnsi="Century Gothic" w:cs="Calibri"/>
          <w:spacing w:val="-2"/>
          <w:sz w:val="24"/>
          <w:szCs w:val="24"/>
        </w:rPr>
        <w:t>.</w:t>
      </w:r>
    </w:p>
    <w:p w14:paraId="30E247A2" w14:textId="53D2FDEE" w:rsidR="00E00C6F" w:rsidRPr="00E6113B" w:rsidRDefault="00E00C6F" w:rsidP="00D10578">
      <w:pPr>
        <w:pStyle w:val="Heading4"/>
        <w:rPr>
          <w:i/>
        </w:rPr>
      </w:pPr>
      <w:r w:rsidRPr="00E6113B">
        <w:t xml:space="preserve">Figure </w:t>
      </w:r>
      <w:r w:rsidR="00744900">
        <w:t>8</w:t>
      </w:r>
      <w:r w:rsidRPr="00E6113B">
        <w:t>. Broadcast/Prescribed Burn Targets and Acres Completed.</w:t>
      </w:r>
    </w:p>
    <w:p w14:paraId="2F631103" w14:textId="4C58D7C2" w:rsidR="00E00C6F" w:rsidRPr="00E6113B" w:rsidRDefault="00E00C6F" w:rsidP="00A225A9">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9A43AF" w:rsidRPr="00E6113B">
        <w:rPr>
          <w:rFonts w:ascii="Century Gothic" w:hAnsi="Century Gothic"/>
          <w:b/>
          <w:bCs/>
          <w:i w:val="0"/>
          <w:iCs w:val="0"/>
          <w:color w:val="auto"/>
          <w:sz w:val="24"/>
          <w:szCs w:val="24"/>
        </w:rPr>
        <w:t>2021/22</w:t>
      </w:r>
      <w:r w:rsidRPr="00E6113B">
        <w:rPr>
          <w:rFonts w:ascii="Century Gothic" w:hAnsi="Century Gothic"/>
          <w:b/>
          <w:i w:val="0"/>
          <w:color w:val="auto"/>
          <w:sz w:val="24"/>
          <w:szCs w:val="24"/>
        </w:rPr>
        <w:t xml:space="preserve"> is through </w:t>
      </w:r>
      <w:r w:rsidR="009A43AF" w:rsidRPr="00E6113B">
        <w:rPr>
          <w:rFonts w:ascii="Century Gothic" w:hAnsi="Century Gothic"/>
          <w:b/>
          <w:i w:val="0"/>
          <w:color w:val="auto"/>
          <w:sz w:val="24"/>
          <w:szCs w:val="24"/>
        </w:rPr>
        <w:t xml:space="preserve">June </w:t>
      </w:r>
      <w:r w:rsidR="001B1F13" w:rsidRPr="00E6113B">
        <w:rPr>
          <w:rFonts w:ascii="Century Gothic" w:hAnsi="Century Gothic"/>
          <w:b/>
          <w:i w:val="0"/>
          <w:color w:val="auto"/>
          <w:sz w:val="24"/>
          <w:szCs w:val="24"/>
        </w:rPr>
        <w:t>3</w:t>
      </w:r>
      <w:r w:rsidR="009A43AF" w:rsidRPr="00E6113B">
        <w:rPr>
          <w:rFonts w:ascii="Century Gothic" w:hAnsi="Century Gothic"/>
          <w:b/>
          <w:i w:val="0"/>
          <w:color w:val="auto"/>
          <w:sz w:val="24"/>
          <w:szCs w:val="24"/>
        </w:rPr>
        <w:t>0</w:t>
      </w:r>
      <w:r w:rsidR="000F7BA5" w:rsidRPr="00E6113B">
        <w:rPr>
          <w:rFonts w:ascii="Century Gothic" w:hAnsi="Century Gothic"/>
          <w:b/>
          <w:i w:val="0"/>
          <w:color w:val="auto"/>
          <w:sz w:val="24"/>
          <w:szCs w:val="24"/>
        </w:rPr>
        <w:t xml:space="preserve">, </w:t>
      </w:r>
      <w:r w:rsidR="000F7BA5" w:rsidRPr="00E6113B">
        <w:rPr>
          <w:rFonts w:ascii="Century Gothic" w:hAnsi="Century Gothic"/>
          <w:b/>
          <w:bCs/>
          <w:i w:val="0"/>
          <w:iCs w:val="0"/>
          <w:color w:val="auto"/>
          <w:sz w:val="24"/>
          <w:szCs w:val="24"/>
        </w:rPr>
        <w:t>202</w:t>
      </w:r>
      <w:r w:rsidR="009A43AF" w:rsidRPr="00E6113B">
        <w:rPr>
          <w:rFonts w:ascii="Century Gothic" w:hAnsi="Century Gothic"/>
          <w:b/>
          <w:bCs/>
          <w:i w:val="0"/>
          <w:iCs w:val="0"/>
          <w:color w:val="auto"/>
          <w:sz w:val="24"/>
          <w:szCs w:val="24"/>
        </w:rPr>
        <w:t>1</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08"/>
      </w:tblGrid>
      <w:tr w:rsidR="00052CC4" w:rsidRPr="00E6113B" w14:paraId="5987147C"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2EBF0FB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2CA3B23"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534BAA3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18CF088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3A7A5DC3" w14:textId="77777777" w:rsidTr="001160BD">
        <w:trPr>
          <w:trHeight w:val="300"/>
          <w:jc w:val="center"/>
        </w:trPr>
        <w:tc>
          <w:tcPr>
            <w:tcW w:w="0" w:type="dxa"/>
            <w:shd w:val="clear" w:color="auto" w:fill="CCCCCC"/>
            <w:noWrap/>
            <w:hideMark/>
          </w:tcPr>
          <w:p w14:paraId="2E29B30A"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10C63FE2"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8D6BE3"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6C70B27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052CC4" w:rsidRPr="00E6113B" w14:paraId="17EF829E" w14:textId="77777777" w:rsidTr="001160BD">
        <w:trPr>
          <w:trHeight w:val="300"/>
          <w:jc w:val="center"/>
        </w:trPr>
        <w:tc>
          <w:tcPr>
            <w:tcW w:w="0" w:type="dxa"/>
            <w:shd w:val="clear" w:color="auto" w:fill="auto"/>
            <w:noWrap/>
          </w:tcPr>
          <w:p w14:paraId="55FD7D9B" w14:textId="79633274"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78C87F18" w14:textId="796F1EC4"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3EC0A91D" w14:textId="313BB44F"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31,305</w:t>
            </w:r>
          </w:p>
        </w:tc>
        <w:tc>
          <w:tcPr>
            <w:tcW w:w="0" w:type="dxa"/>
            <w:shd w:val="clear" w:color="auto" w:fill="auto"/>
            <w:noWrap/>
          </w:tcPr>
          <w:p w14:paraId="00249EDF" w14:textId="2BA5CDC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125.22%</w:t>
            </w:r>
          </w:p>
        </w:tc>
      </w:tr>
      <w:tr w:rsidR="00052CC4" w:rsidRPr="00E6113B" w14:paraId="2E0AE5D6" w14:textId="77777777" w:rsidTr="001160BD">
        <w:trPr>
          <w:trHeight w:val="300"/>
          <w:jc w:val="center"/>
        </w:trPr>
        <w:tc>
          <w:tcPr>
            <w:tcW w:w="0" w:type="dxa"/>
            <w:shd w:val="clear" w:color="auto" w:fill="CCCCCC"/>
            <w:noWrap/>
            <w:hideMark/>
          </w:tcPr>
          <w:p w14:paraId="036BCB0C" w14:textId="52A6D794"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r w:rsidR="00B94D29" w:rsidRPr="00E6113B">
              <w:rPr>
                <w:rFonts w:ascii="Century Gothic" w:eastAsia="Times New Roman" w:hAnsi="Century Gothic" w:cs="Calibri"/>
                <w:b/>
                <w:bCs/>
                <w:color w:val="000000"/>
                <w:sz w:val="24"/>
                <w:szCs w:val="24"/>
              </w:rPr>
              <w:t>*</w:t>
            </w:r>
          </w:p>
        </w:tc>
        <w:tc>
          <w:tcPr>
            <w:tcW w:w="0" w:type="dxa"/>
            <w:shd w:val="clear" w:color="auto" w:fill="CCCCCC"/>
            <w:noWrap/>
            <w:hideMark/>
          </w:tcPr>
          <w:p w14:paraId="59595098" w14:textId="32A81D0A"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5275AAC3" w14:textId="08C7C5D6"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13,450</w:t>
            </w:r>
          </w:p>
        </w:tc>
        <w:tc>
          <w:tcPr>
            <w:tcW w:w="0" w:type="dxa"/>
            <w:shd w:val="clear" w:color="auto" w:fill="CCCCCC"/>
            <w:noWrap/>
            <w:hideMark/>
          </w:tcPr>
          <w:p w14:paraId="0724E8FD" w14:textId="72A7A03A"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53.80</w:t>
            </w:r>
            <w:r w:rsidR="00B364DE" w:rsidRPr="00E6113B">
              <w:rPr>
                <w:rFonts w:ascii="Century Gothic" w:eastAsia="Times New Roman" w:hAnsi="Century Gothic" w:cs="Calibri"/>
                <w:color w:val="000000"/>
                <w:sz w:val="24"/>
                <w:szCs w:val="24"/>
              </w:rPr>
              <w:t>%</w:t>
            </w:r>
          </w:p>
        </w:tc>
      </w:tr>
      <w:tr w:rsidR="00052CC4" w:rsidRPr="00E6113B" w14:paraId="0C3F67E5" w14:textId="77777777" w:rsidTr="001160BD">
        <w:trPr>
          <w:trHeight w:val="300"/>
          <w:jc w:val="center"/>
        </w:trPr>
        <w:tc>
          <w:tcPr>
            <w:tcW w:w="1413" w:type="dxa"/>
            <w:shd w:val="clear" w:color="auto" w:fill="auto"/>
            <w:noWrap/>
          </w:tcPr>
          <w:p w14:paraId="1514F2E5" w14:textId="6D688D29"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5FB6F2B6" w14:textId="3ABBC44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088A20D0" w14:textId="3CDC325D"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27,143</w:t>
            </w:r>
          </w:p>
        </w:tc>
        <w:tc>
          <w:tcPr>
            <w:tcW w:w="1608" w:type="dxa"/>
            <w:shd w:val="clear" w:color="auto" w:fill="auto"/>
            <w:noWrap/>
          </w:tcPr>
          <w:p w14:paraId="3619863B" w14:textId="596BB6CE"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108.57%</w:t>
            </w:r>
          </w:p>
        </w:tc>
      </w:tr>
      <w:tr w:rsidR="00052CC4" w:rsidRPr="00E6113B" w14:paraId="42D18BAB" w14:textId="77777777" w:rsidTr="001160BD">
        <w:trPr>
          <w:trHeight w:val="300"/>
          <w:jc w:val="center"/>
        </w:trPr>
        <w:tc>
          <w:tcPr>
            <w:tcW w:w="1413" w:type="dxa"/>
            <w:shd w:val="clear" w:color="auto" w:fill="CCCCCC"/>
            <w:noWrap/>
          </w:tcPr>
          <w:p w14:paraId="01570B12" w14:textId="5C5D1401"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3505FC6" w14:textId="1A31D8EE"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3D76E52E" w14:textId="42DB04E5"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32,</w:t>
            </w:r>
            <w:r w:rsidR="00DD4331" w:rsidRPr="00E6113B">
              <w:rPr>
                <w:rFonts w:ascii="Century Gothic" w:eastAsia="Times New Roman" w:hAnsi="Century Gothic" w:cs="Calibri"/>
                <w:color w:val="000000"/>
                <w:sz w:val="24"/>
                <w:szCs w:val="24"/>
              </w:rPr>
              <w:t>226</w:t>
            </w:r>
          </w:p>
        </w:tc>
        <w:tc>
          <w:tcPr>
            <w:tcW w:w="1608" w:type="dxa"/>
            <w:shd w:val="clear" w:color="auto" w:fill="CCCCCC"/>
            <w:noWrap/>
          </w:tcPr>
          <w:p w14:paraId="1542E82C" w14:textId="6EFEDFC2"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107.42%</w:t>
            </w:r>
          </w:p>
        </w:tc>
      </w:tr>
      <w:tr w:rsidR="00FA3BE3" w:rsidRPr="00E6113B" w14:paraId="673B5BC4" w14:textId="77777777" w:rsidTr="001160BD">
        <w:trPr>
          <w:trHeight w:val="300"/>
          <w:jc w:val="center"/>
        </w:trPr>
        <w:tc>
          <w:tcPr>
            <w:tcW w:w="1413" w:type="dxa"/>
            <w:shd w:val="clear" w:color="auto" w:fill="CCCCCC"/>
            <w:noWrap/>
          </w:tcPr>
          <w:p w14:paraId="0123BB8E" w14:textId="61F9431E"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CCCCCC"/>
            <w:noWrap/>
          </w:tcPr>
          <w:p w14:paraId="52DEF094" w14:textId="772F3576"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CCCCCC"/>
            <w:noWrap/>
          </w:tcPr>
          <w:p w14:paraId="4DC04E3C" w14:textId="13FE288F"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38,219</w:t>
            </w:r>
          </w:p>
        </w:tc>
        <w:tc>
          <w:tcPr>
            <w:tcW w:w="1608" w:type="dxa"/>
            <w:shd w:val="clear" w:color="auto" w:fill="CCCCCC"/>
            <w:noWrap/>
          </w:tcPr>
          <w:p w14:paraId="65862B63" w14:textId="26360C85"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76.44%</w:t>
            </w:r>
          </w:p>
        </w:tc>
      </w:tr>
    </w:tbl>
    <w:p w14:paraId="55BC4BC0" w14:textId="77777777" w:rsidR="00C97D9A" w:rsidRPr="00E6113B" w:rsidRDefault="00C97D9A" w:rsidP="0035278F">
      <w:pPr>
        <w:pStyle w:val="BodyText"/>
      </w:pPr>
    </w:p>
    <w:p w14:paraId="5D028033" w14:textId="5F7E9B50" w:rsidR="00E00C6F" w:rsidRPr="00E6113B" w:rsidRDefault="00E00C6F" w:rsidP="00D10578">
      <w:pPr>
        <w:pStyle w:val="Heading4"/>
        <w:rPr>
          <w:i/>
        </w:rPr>
      </w:pPr>
      <w:r w:rsidRPr="00E6113B">
        <w:t xml:space="preserve">Figure </w:t>
      </w:r>
      <w:r w:rsidR="00744900">
        <w:t>9</w:t>
      </w:r>
      <w:r w:rsidRPr="00E6113B">
        <w:t>. All Other Fuel Reduction Method Targets and Acres Completed.</w:t>
      </w:r>
    </w:p>
    <w:p w14:paraId="5E0C74BD" w14:textId="6B2F0D9C" w:rsidR="000301D8" w:rsidRPr="00E6113B" w:rsidRDefault="00E00C6F" w:rsidP="004B2C57">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0F7BA5" w:rsidRPr="00E6113B">
        <w:rPr>
          <w:rFonts w:ascii="Century Gothic" w:hAnsi="Century Gothic"/>
          <w:b/>
          <w:bCs/>
          <w:i w:val="0"/>
          <w:iCs w:val="0"/>
          <w:color w:val="auto"/>
          <w:sz w:val="24"/>
          <w:szCs w:val="24"/>
        </w:rPr>
        <w:t>2020/21</w:t>
      </w:r>
      <w:r w:rsidRPr="00E6113B">
        <w:rPr>
          <w:rFonts w:ascii="Century Gothic" w:hAnsi="Century Gothic"/>
          <w:b/>
          <w:i w:val="0"/>
          <w:color w:val="auto"/>
          <w:sz w:val="24"/>
          <w:szCs w:val="24"/>
        </w:rPr>
        <w:t xml:space="preserve"> is through </w:t>
      </w:r>
      <w:r w:rsidR="001B1F13" w:rsidRPr="00E6113B">
        <w:rPr>
          <w:rFonts w:ascii="Century Gothic" w:hAnsi="Century Gothic"/>
          <w:b/>
          <w:i w:val="0"/>
          <w:color w:val="auto"/>
          <w:sz w:val="24"/>
          <w:szCs w:val="24"/>
        </w:rPr>
        <w:t>December 31</w:t>
      </w:r>
      <w:r w:rsidRPr="00E6113B">
        <w:rPr>
          <w:rFonts w:ascii="Century Gothic" w:hAnsi="Century Gothic"/>
          <w:b/>
          <w:i w:val="0"/>
          <w:color w:val="auto"/>
          <w:sz w:val="24"/>
          <w:szCs w:val="24"/>
        </w:rPr>
        <w:t xml:space="preserve">, </w:t>
      </w:r>
      <w:r w:rsidRPr="00E6113B">
        <w:rPr>
          <w:rFonts w:ascii="Century Gothic" w:hAnsi="Century Gothic"/>
          <w:b/>
          <w:bCs/>
          <w:i w:val="0"/>
          <w:iCs w:val="0"/>
          <w:color w:val="auto"/>
          <w:sz w:val="24"/>
          <w:szCs w:val="24"/>
        </w:rPr>
        <w:t>20</w:t>
      </w:r>
      <w:r w:rsidR="000F7BA5" w:rsidRPr="00E6113B">
        <w:rPr>
          <w:rFonts w:ascii="Century Gothic" w:hAnsi="Century Gothic"/>
          <w:b/>
          <w:bCs/>
          <w:i w:val="0"/>
          <w:iCs w:val="0"/>
          <w:color w:val="auto"/>
          <w:sz w:val="24"/>
          <w:szCs w:val="24"/>
        </w:rPr>
        <w:t>20</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052CC4" w:rsidRPr="00E6113B" w14:paraId="332A864B" w14:textId="77777777" w:rsidTr="00EB0A03">
        <w:trPr>
          <w:trHeight w:val="300"/>
          <w:tblHeader/>
          <w:jc w:val="center"/>
        </w:trPr>
        <w:tc>
          <w:tcPr>
            <w:tcW w:w="1508" w:type="dxa"/>
            <w:tcBorders>
              <w:top w:val="nil"/>
              <w:bottom w:val="single" w:sz="12" w:space="0" w:color="666666"/>
              <w:right w:val="nil"/>
            </w:tcBorders>
            <w:shd w:val="clear" w:color="auto" w:fill="FFFFFF"/>
            <w:noWrap/>
            <w:hideMark/>
          </w:tcPr>
          <w:p w14:paraId="7B7BB00A"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531D706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2B6F3575"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646288E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500C193" w14:textId="77777777" w:rsidTr="00EB0A03">
        <w:trPr>
          <w:trHeight w:val="300"/>
          <w:jc w:val="center"/>
        </w:trPr>
        <w:tc>
          <w:tcPr>
            <w:tcW w:w="1508" w:type="dxa"/>
            <w:shd w:val="clear" w:color="auto" w:fill="CCCCCC"/>
            <w:noWrap/>
            <w:hideMark/>
          </w:tcPr>
          <w:p w14:paraId="016EC191"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110494BF"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77CB1849"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13,344</w:t>
            </w:r>
          </w:p>
        </w:tc>
        <w:tc>
          <w:tcPr>
            <w:tcW w:w="1614" w:type="dxa"/>
            <w:shd w:val="clear" w:color="auto" w:fill="CCCCCC"/>
            <w:noWrap/>
            <w:hideMark/>
          </w:tcPr>
          <w:p w14:paraId="456F970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66.70%</w:t>
            </w:r>
          </w:p>
        </w:tc>
      </w:tr>
      <w:tr w:rsidR="00052CC4" w:rsidRPr="00E6113B" w14:paraId="7A6722FA" w14:textId="77777777" w:rsidTr="00EB0A03">
        <w:trPr>
          <w:trHeight w:val="300"/>
          <w:jc w:val="center"/>
        </w:trPr>
        <w:tc>
          <w:tcPr>
            <w:tcW w:w="1508" w:type="dxa"/>
            <w:shd w:val="clear" w:color="auto" w:fill="auto"/>
            <w:noWrap/>
          </w:tcPr>
          <w:p w14:paraId="111DD205" w14:textId="397061F7"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400ED51F" w14:textId="5DFB3129"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1412E5CC" w14:textId="3A0C92BA"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15,331</w:t>
            </w:r>
          </w:p>
        </w:tc>
        <w:tc>
          <w:tcPr>
            <w:tcW w:w="1614" w:type="dxa"/>
            <w:shd w:val="clear" w:color="auto" w:fill="auto"/>
            <w:noWrap/>
          </w:tcPr>
          <w:p w14:paraId="34068D4A" w14:textId="6C4E76D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76.66%</w:t>
            </w:r>
          </w:p>
        </w:tc>
      </w:tr>
      <w:tr w:rsidR="00052CC4" w:rsidRPr="00E6113B" w14:paraId="78DBC924" w14:textId="77777777" w:rsidTr="00EB0A03">
        <w:trPr>
          <w:trHeight w:val="300"/>
          <w:jc w:val="center"/>
        </w:trPr>
        <w:tc>
          <w:tcPr>
            <w:tcW w:w="1508" w:type="dxa"/>
            <w:shd w:val="clear" w:color="auto" w:fill="CCCCCC"/>
            <w:noWrap/>
            <w:hideMark/>
          </w:tcPr>
          <w:p w14:paraId="690F17CA" w14:textId="72B675DA"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r w:rsidR="00B94D29" w:rsidRPr="00E6113B">
              <w:rPr>
                <w:rFonts w:ascii="Century Gothic" w:eastAsia="Times New Roman" w:hAnsi="Century Gothic" w:cs="Calibri"/>
                <w:b/>
                <w:bCs/>
                <w:color w:val="000000"/>
                <w:sz w:val="24"/>
                <w:szCs w:val="24"/>
              </w:rPr>
              <w:t>*</w:t>
            </w:r>
          </w:p>
        </w:tc>
        <w:tc>
          <w:tcPr>
            <w:tcW w:w="948" w:type="dxa"/>
            <w:shd w:val="clear" w:color="auto" w:fill="CCCCCC"/>
            <w:noWrap/>
            <w:hideMark/>
          </w:tcPr>
          <w:p w14:paraId="03109619" w14:textId="674936F0" w:rsidR="003160A6"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2E5AFE45" w14:textId="7ACD22D9"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13,730</w:t>
            </w:r>
          </w:p>
        </w:tc>
        <w:tc>
          <w:tcPr>
            <w:tcW w:w="1614" w:type="dxa"/>
            <w:shd w:val="clear" w:color="auto" w:fill="CCCCCC"/>
            <w:noWrap/>
          </w:tcPr>
          <w:p w14:paraId="73D977F4" w14:textId="0948E23F"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68.65</w:t>
            </w:r>
            <w:r w:rsidR="00B94D29" w:rsidRPr="00E6113B">
              <w:rPr>
                <w:rFonts w:ascii="Century Gothic" w:eastAsia="Times New Roman" w:hAnsi="Century Gothic" w:cs="Calibri"/>
                <w:color w:val="000000"/>
                <w:sz w:val="24"/>
                <w:szCs w:val="24"/>
              </w:rPr>
              <w:t>%</w:t>
            </w:r>
          </w:p>
        </w:tc>
      </w:tr>
      <w:tr w:rsidR="00052CC4" w:rsidRPr="00E6113B" w14:paraId="7A304CA2" w14:textId="77777777" w:rsidTr="00EB0A03">
        <w:trPr>
          <w:trHeight w:val="300"/>
          <w:jc w:val="center"/>
        </w:trPr>
        <w:tc>
          <w:tcPr>
            <w:tcW w:w="1508" w:type="dxa"/>
            <w:shd w:val="clear" w:color="auto" w:fill="auto"/>
            <w:noWrap/>
          </w:tcPr>
          <w:p w14:paraId="105CDA8D" w14:textId="7ECF9CD3"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5539154F" w14:textId="3596531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09F3597C" w14:textId="049F59C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28,033</w:t>
            </w:r>
          </w:p>
        </w:tc>
        <w:tc>
          <w:tcPr>
            <w:tcW w:w="1614" w:type="dxa"/>
            <w:shd w:val="clear" w:color="auto" w:fill="auto"/>
            <w:noWrap/>
          </w:tcPr>
          <w:p w14:paraId="57BC9F18" w14:textId="79886CDA"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140.17%</w:t>
            </w:r>
          </w:p>
        </w:tc>
      </w:tr>
      <w:tr w:rsidR="00052CC4" w:rsidRPr="00E6113B" w14:paraId="6495428F" w14:textId="77777777" w:rsidTr="00EB0A03">
        <w:trPr>
          <w:trHeight w:val="300"/>
          <w:jc w:val="center"/>
        </w:trPr>
        <w:tc>
          <w:tcPr>
            <w:tcW w:w="1508" w:type="dxa"/>
            <w:shd w:val="clear" w:color="auto" w:fill="CCCCCC"/>
            <w:noWrap/>
          </w:tcPr>
          <w:p w14:paraId="25CA7586" w14:textId="121D9583"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lastRenderedPageBreak/>
              <w:t>2021/2022</w:t>
            </w:r>
          </w:p>
        </w:tc>
        <w:tc>
          <w:tcPr>
            <w:tcW w:w="948" w:type="dxa"/>
            <w:shd w:val="clear" w:color="auto" w:fill="CCCCCC"/>
            <w:noWrap/>
          </w:tcPr>
          <w:p w14:paraId="630B5E49" w14:textId="14F47C5D"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462CF0BC" w14:textId="602ED3E9"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w:t>
            </w:r>
            <w:r w:rsidR="00DD4331" w:rsidRPr="00E6113B">
              <w:rPr>
                <w:rFonts w:ascii="Century Gothic" w:eastAsia="Times New Roman" w:hAnsi="Century Gothic" w:cs="Calibri"/>
                <w:color w:val="000000"/>
                <w:sz w:val="24"/>
                <w:szCs w:val="24"/>
              </w:rPr>
              <w:t>795</w:t>
            </w:r>
          </w:p>
        </w:tc>
        <w:tc>
          <w:tcPr>
            <w:tcW w:w="1614" w:type="dxa"/>
            <w:shd w:val="clear" w:color="auto" w:fill="CCCCCC"/>
            <w:noWrap/>
          </w:tcPr>
          <w:p w14:paraId="451C2A72" w14:textId="16FC17EE"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63</w:t>
            </w:r>
            <w:r w:rsidR="009A43AF"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98</w:t>
            </w:r>
            <w:r w:rsidR="009A43AF" w:rsidRPr="00E6113B">
              <w:rPr>
                <w:rFonts w:ascii="Century Gothic" w:eastAsia="Times New Roman" w:hAnsi="Century Gothic" w:cs="Calibri"/>
                <w:color w:val="000000"/>
                <w:sz w:val="24"/>
                <w:szCs w:val="24"/>
              </w:rPr>
              <w:t>%</w:t>
            </w:r>
          </w:p>
        </w:tc>
      </w:tr>
      <w:tr w:rsidR="00FA3BE3" w:rsidRPr="00E6113B" w14:paraId="7F9192D4" w14:textId="77777777" w:rsidTr="00EB0A03">
        <w:trPr>
          <w:trHeight w:val="300"/>
          <w:jc w:val="center"/>
        </w:trPr>
        <w:tc>
          <w:tcPr>
            <w:tcW w:w="1508" w:type="dxa"/>
            <w:shd w:val="clear" w:color="auto" w:fill="auto"/>
            <w:noWrap/>
          </w:tcPr>
          <w:p w14:paraId="2ED774D1" w14:textId="48C84ABA" w:rsidR="00EB0A03" w:rsidRPr="00E6113B" w:rsidRDefault="00EB0A03" w:rsidP="00EB0A0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CCCCCC"/>
            <w:noWrap/>
          </w:tcPr>
          <w:p w14:paraId="1AA92F66" w14:textId="3308C6AD"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CCCCCC"/>
            <w:noWrap/>
          </w:tcPr>
          <w:p w14:paraId="678C1BBE" w14:textId="0C889B00"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59,356</w:t>
            </w:r>
          </w:p>
        </w:tc>
        <w:tc>
          <w:tcPr>
            <w:tcW w:w="1614" w:type="dxa"/>
            <w:shd w:val="clear" w:color="auto" w:fill="CCCCCC"/>
            <w:noWrap/>
          </w:tcPr>
          <w:p w14:paraId="05113100" w14:textId="22475BF5"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118.71%</w:t>
            </w:r>
          </w:p>
        </w:tc>
      </w:tr>
    </w:tbl>
    <w:p w14:paraId="4E13AB29" w14:textId="06EF6C5E" w:rsidR="00F05B56" w:rsidRPr="00E6113B" w:rsidRDefault="00A7258D" w:rsidP="003E79E8">
      <w:pPr>
        <w:spacing w:before="240" w:after="240"/>
        <w:rPr>
          <w:rFonts w:ascii="Century Gothic" w:hAnsi="Century Gothic" w:cs="Calibri"/>
          <w:spacing w:val="-2"/>
          <w:sz w:val="24"/>
          <w:szCs w:val="24"/>
        </w:rPr>
      </w:pPr>
      <w:r w:rsidRPr="00070148">
        <w:rPr>
          <w:rFonts w:ascii="Century Gothic" w:hAnsi="Century Gothic" w:cs="Calibri"/>
          <w:spacing w:val="-2"/>
          <w:sz w:val="24"/>
          <w:szCs w:val="24"/>
        </w:rPr>
        <w:t xml:space="preserve">Defensible space is managed space around a structure </w:t>
      </w:r>
      <w:r w:rsidR="00070148" w:rsidRPr="00070148">
        <w:rPr>
          <w:rFonts w:ascii="Century Gothic" w:hAnsi="Century Gothic" w:cs="Calibri"/>
          <w:spacing w:val="-2"/>
          <w:sz w:val="24"/>
          <w:szCs w:val="24"/>
        </w:rPr>
        <w:t>that creates a buffer between the structure and the plants, brush, trees, or other flammable items that could ignite in the event of a fire</w:t>
      </w:r>
      <w:r w:rsidRPr="00070148">
        <w:rPr>
          <w:rFonts w:ascii="Century Gothic" w:hAnsi="Century Gothic" w:cs="Calibri"/>
          <w:spacing w:val="-2"/>
          <w:sz w:val="24"/>
          <w:szCs w:val="24"/>
        </w:rPr>
        <w:t>. Reduced</w:t>
      </w:r>
      <w:r w:rsidRPr="00E6113B">
        <w:rPr>
          <w:rFonts w:ascii="Century Gothic" w:hAnsi="Century Gothic" w:cs="Calibri"/>
          <w:spacing w:val="-2"/>
          <w:sz w:val="24"/>
          <w:szCs w:val="24"/>
        </w:rPr>
        <w:t xml:space="preserve"> natural fuel loads, decreased continuity of fuels, the removal of flammable materials from near structures, and the use of fire-resistant materials in landscaping and home </w:t>
      </w:r>
      <w:r w:rsidR="006E112C" w:rsidRPr="00E6113B">
        <w:rPr>
          <w:rFonts w:ascii="Century Gothic" w:hAnsi="Century Gothic" w:cs="Calibri"/>
          <w:spacing w:val="-2"/>
          <w:sz w:val="24"/>
          <w:szCs w:val="24"/>
        </w:rPr>
        <w:t>construction</w:t>
      </w:r>
      <w:r w:rsidRPr="00E6113B">
        <w:rPr>
          <w:rFonts w:ascii="Century Gothic" w:hAnsi="Century Gothic" w:cs="Calibri"/>
          <w:spacing w:val="-2"/>
          <w:sz w:val="24"/>
          <w:szCs w:val="24"/>
        </w:rPr>
        <w:t xml:space="preserve"> are just some of the techniques that contribute to defensible space. </w:t>
      </w:r>
      <w:r w:rsidR="00181E87" w:rsidRPr="00E6113B">
        <w:rPr>
          <w:rFonts w:ascii="Century Gothic" w:hAnsi="Century Gothic" w:cs="Calibri"/>
          <w:spacing w:val="-2"/>
          <w:sz w:val="24"/>
          <w:szCs w:val="24"/>
        </w:rPr>
        <w:t xml:space="preserve">These techniques reduce the chances of a structure </w:t>
      </w:r>
      <w:r w:rsidR="006E112C" w:rsidRPr="00E6113B">
        <w:rPr>
          <w:rFonts w:ascii="Century Gothic" w:hAnsi="Century Gothic" w:cs="Calibri"/>
          <w:spacing w:val="-2"/>
          <w:sz w:val="24"/>
          <w:szCs w:val="24"/>
        </w:rPr>
        <w:t>igniting</w:t>
      </w:r>
      <w:r w:rsidR="00181E87" w:rsidRPr="00E6113B">
        <w:rPr>
          <w:rFonts w:ascii="Century Gothic" w:hAnsi="Century Gothic" w:cs="Calibri"/>
          <w:spacing w:val="-2"/>
          <w:sz w:val="24"/>
          <w:szCs w:val="24"/>
        </w:rPr>
        <w:t xml:space="preserve"> during a wildfire and increase firefighter safety during structure defense operations. </w:t>
      </w:r>
      <w:r w:rsidR="00DF2340" w:rsidRPr="00E6113B">
        <w:rPr>
          <w:rFonts w:ascii="Century Gothic" w:hAnsi="Century Gothic" w:cs="Calibri"/>
          <w:spacing w:val="-2"/>
          <w:sz w:val="24"/>
          <w:szCs w:val="24"/>
        </w:rPr>
        <w:t>Defensible space and the management of fuels</w:t>
      </w:r>
      <w:r w:rsidR="00985A2D"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particularly around homes and public buildings</w:t>
      </w:r>
      <w:r w:rsidR="00E7575C"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ha</w:t>
      </w:r>
      <w:r w:rsidR="00636729" w:rsidRPr="00E6113B">
        <w:rPr>
          <w:rFonts w:ascii="Century Gothic" w:hAnsi="Century Gothic" w:cs="Calibri"/>
          <w:spacing w:val="-2"/>
          <w:sz w:val="24"/>
          <w:szCs w:val="24"/>
        </w:rPr>
        <w:t>ve</w:t>
      </w:r>
      <w:r w:rsidR="00DF2340" w:rsidRPr="00E6113B">
        <w:rPr>
          <w:rFonts w:ascii="Century Gothic" w:hAnsi="Century Gothic" w:cs="Calibri"/>
          <w:spacing w:val="-2"/>
          <w:sz w:val="24"/>
          <w:szCs w:val="24"/>
        </w:rPr>
        <w:t xml:space="preserve"> become increasingly important as the W</w:t>
      </w:r>
      <w:r w:rsidR="00477A38" w:rsidRPr="00E6113B">
        <w:rPr>
          <w:rFonts w:ascii="Century Gothic" w:hAnsi="Century Gothic" w:cs="Calibri"/>
          <w:spacing w:val="-2"/>
          <w:sz w:val="24"/>
          <w:szCs w:val="24"/>
        </w:rPr>
        <w:t>ildland-</w:t>
      </w:r>
      <w:r w:rsidR="00DF2340" w:rsidRPr="00E6113B">
        <w:rPr>
          <w:rFonts w:ascii="Century Gothic" w:hAnsi="Century Gothic" w:cs="Calibri"/>
          <w:spacing w:val="-2"/>
          <w:sz w:val="24"/>
          <w:szCs w:val="24"/>
        </w:rPr>
        <w:t>U</w:t>
      </w:r>
      <w:r w:rsidR="00477A38" w:rsidRPr="00E6113B">
        <w:rPr>
          <w:rFonts w:ascii="Century Gothic" w:hAnsi="Century Gothic" w:cs="Calibri"/>
          <w:spacing w:val="-2"/>
          <w:sz w:val="24"/>
          <w:szCs w:val="24"/>
        </w:rPr>
        <w:t xml:space="preserve">rban </w:t>
      </w:r>
      <w:r w:rsidR="00DF2340" w:rsidRPr="00E6113B">
        <w:rPr>
          <w:rFonts w:ascii="Century Gothic" w:hAnsi="Century Gothic" w:cs="Calibri"/>
          <w:spacing w:val="-2"/>
          <w:sz w:val="24"/>
          <w:szCs w:val="24"/>
        </w:rPr>
        <w:t>I</w:t>
      </w:r>
      <w:r w:rsidR="00477A38" w:rsidRPr="00E6113B">
        <w:rPr>
          <w:rFonts w:ascii="Century Gothic" w:hAnsi="Century Gothic" w:cs="Calibri"/>
          <w:spacing w:val="-2"/>
          <w:sz w:val="24"/>
          <w:szCs w:val="24"/>
        </w:rPr>
        <w:t>nterface (WUI)</w:t>
      </w:r>
      <w:r w:rsidR="00DF2340" w:rsidRPr="00E6113B">
        <w:rPr>
          <w:rFonts w:ascii="Century Gothic" w:hAnsi="Century Gothic" w:cs="Calibri"/>
          <w:spacing w:val="-2"/>
          <w:sz w:val="24"/>
          <w:szCs w:val="24"/>
        </w:rPr>
        <w:t xml:space="preserve"> continues to expand and more severe fires threaten WUI areas. CAL FIRE recently updated the Defensible Space Collector App to make inspections more efficient and accurate. Figure 1</w:t>
      </w:r>
      <w:r w:rsidR="00744900">
        <w:rPr>
          <w:rFonts w:ascii="Century Gothic" w:hAnsi="Century Gothic" w:cs="Calibri"/>
          <w:spacing w:val="-2"/>
          <w:sz w:val="24"/>
          <w:szCs w:val="24"/>
        </w:rPr>
        <w:t xml:space="preserve">0 </w:t>
      </w:r>
      <w:r w:rsidR="00DF2340" w:rsidRPr="00E6113B">
        <w:rPr>
          <w:rFonts w:ascii="Century Gothic" w:hAnsi="Century Gothic" w:cs="Calibri"/>
          <w:spacing w:val="-2"/>
          <w:sz w:val="24"/>
          <w:szCs w:val="24"/>
        </w:rPr>
        <w:t xml:space="preserve">illustrates the goals for defensible space inspections and how many were </w:t>
      </w:r>
      <w:r w:rsidR="00636729" w:rsidRPr="00E6113B">
        <w:rPr>
          <w:rFonts w:ascii="Century Gothic" w:hAnsi="Century Gothic" w:cs="Calibri"/>
          <w:spacing w:val="-2"/>
          <w:sz w:val="24"/>
          <w:szCs w:val="24"/>
        </w:rPr>
        <w:t xml:space="preserve">accomplished </w:t>
      </w:r>
      <w:r w:rsidRPr="00E6113B">
        <w:rPr>
          <w:rFonts w:ascii="Century Gothic" w:hAnsi="Century Gothic" w:cs="Calibri"/>
          <w:spacing w:val="-2"/>
          <w:sz w:val="24"/>
          <w:szCs w:val="24"/>
        </w:rPr>
        <w:t>within the three most recent fiscal years</w:t>
      </w:r>
      <w:r w:rsidR="00DF2340" w:rsidRPr="00E6113B">
        <w:rPr>
          <w:rFonts w:ascii="Century Gothic" w:hAnsi="Century Gothic" w:cs="Calibri"/>
          <w:spacing w:val="-2"/>
          <w:sz w:val="24"/>
          <w:szCs w:val="24"/>
        </w:rPr>
        <w:t>.</w:t>
      </w:r>
    </w:p>
    <w:p w14:paraId="140C9A94" w14:textId="4B1BFD4C" w:rsidR="00F05B56" w:rsidRPr="00E6113B" w:rsidRDefault="00F05B56" w:rsidP="00D10578">
      <w:pPr>
        <w:pStyle w:val="Heading4"/>
        <w:rPr>
          <w:i/>
        </w:rPr>
      </w:pPr>
      <w:bookmarkStart w:id="29" w:name="_Hlk22216107"/>
      <w:r w:rsidRPr="00E6113B">
        <w:t xml:space="preserve">Figure </w:t>
      </w:r>
      <w:r w:rsidR="00744900">
        <w:t>10</w:t>
      </w:r>
      <w:r w:rsidRPr="00E6113B">
        <w:t>. Defensible Space Inspections Completed.</w:t>
      </w:r>
    </w:p>
    <w:p w14:paraId="2FC5FAB6" w14:textId="77777777" w:rsidR="00FF5BEB" w:rsidRPr="00E6113B" w:rsidRDefault="00FF5BEB" w:rsidP="0035278F">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2395"/>
        <w:gridCol w:w="1832"/>
      </w:tblGrid>
      <w:tr w:rsidR="00052CC4" w:rsidRPr="00E6113B" w14:paraId="55AA325B" w14:textId="77777777" w:rsidTr="00E6113B">
        <w:trPr>
          <w:trHeight w:val="300"/>
          <w:tblHeader/>
          <w:jc w:val="center"/>
        </w:trPr>
        <w:tc>
          <w:tcPr>
            <w:tcW w:w="1508" w:type="dxa"/>
            <w:tcBorders>
              <w:top w:val="nil"/>
              <w:bottom w:val="single" w:sz="12" w:space="0" w:color="666666"/>
              <w:right w:val="nil"/>
            </w:tcBorders>
            <w:shd w:val="clear" w:color="auto" w:fill="FFFFFF"/>
            <w:noWrap/>
            <w:hideMark/>
          </w:tcPr>
          <w:bookmarkEnd w:id="29"/>
          <w:p w14:paraId="358B58A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DD46CB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95A5F0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3AFB4C4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6DD50FF" w14:textId="77777777" w:rsidTr="00E6113B">
        <w:trPr>
          <w:trHeight w:val="300"/>
          <w:jc w:val="center"/>
        </w:trPr>
        <w:tc>
          <w:tcPr>
            <w:tcW w:w="1508" w:type="dxa"/>
            <w:shd w:val="clear" w:color="auto" w:fill="CCCCCC"/>
            <w:noWrap/>
            <w:hideMark/>
          </w:tcPr>
          <w:p w14:paraId="7D5AC2D8"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1DF1C6FE"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5F6BAEC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411BE998"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052CC4" w:rsidRPr="00E6113B" w14:paraId="6186154B" w14:textId="77777777" w:rsidTr="00E6113B">
        <w:trPr>
          <w:trHeight w:val="300"/>
          <w:jc w:val="center"/>
        </w:trPr>
        <w:tc>
          <w:tcPr>
            <w:tcW w:w="1508" w:type="dxa"/>
            <w:shd w:val="clear" w:color="auto" w:fill="auto"/>
            <w:noWrap/>
          </w:tcPr>
          <w:p w14:paraId="7EF15039" w14:textId="2C04D550"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0A9FA733" w14:textId="4D032D0D"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29DE192F" w14:textId="6D6B9063"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4878E8C1" w14:textId="10FCEC66"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052CC4" w:rsidRPr="00E6113B" w14:paraId="4F2CFD3B" w14:textId="77777777" w:rsidTr="00E6113B">
        <w:trPr>
          <w:trHeight w:val="300"/>
          <w:jc w:val="center"/>
        </w:trPr>
        <w:tc>
          <w:tcPr>
            <w:tcW w:w="1508" w:type="dxa"/>
            <w:shd w:val="clear" w:color="auto" w:fill="CCCCCC"/>
            <w:noWrap/>
            <w:hideMark/>
          </w:tcPr>
          <w:p w14:paraId="53792C3D" w14:textId="43AC9E46"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p>
        </w:tc>
        <w:tc>
          <w:tcPr>
            <w:tcW w:w="1081" w:type="dxa"/>
            <w:shd w:val="clear" w:color="auto" w:fill="CCCCCC"/>
            <w:noWrap/>
            <w:hideMark/>
          </w:tcPr>
          <w:p w14:paraId="6AA305B0" w14:textId="74BF4832"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B1E0F80" w14:textId="5FF1C303" w:rsidR="00DF2340" w:rsidRPr="00E6113B" w:rsidRDefault="00B33FC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5549CA" w:rsidRPr="00E6113B">
              <w:rPr>
                <w:rFonts w:ascii="Century Gothic" w:eastAsia="Times New Roman" w:hAnsi="Century Gothic" w:cs="Calibri"/>
                <w:color w:val="000000"/>
                <w:sz w:val="24"/>
                <w:szCs w:val="24"/>
              </w:rPr>
              <w:t>22,040</w:t>
            </w:r>
          </w:p>
        </w:tc>
        <w:tc>
          <w:tcPr>
            <w:tcW w:w="1832" w:type="dxa"/>
            <w:shd w:val="clear" w:color="auto" w:fill="CCCCCC"/>
            <w:noWrap/>
            <w:hideMark/>
          </w:tcPr>
          <w:p w14:paraId="1B455DD2" w14:textId="4BD477AA" w:rsidR="00DF2340" w:rsidRPr="00E6113B" w:rsidRDefault="005549CA"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r w:rsidR="00B94D29" w:rsidRPr="00E6113B">
              <w:rPr>
                <w:rFonts w:ascii="Century Gothic" w:eastAsia="Times New Roman" w:hAnsi="Century Gothic" w:cs="Calibri"/>
                <w:color w:val="000000"/>
                <w:sz w:val="24"/>
                <w:szCs w:val="24"/>
              </w:rPr>
              <w:t>%</w:t>
            </w:r>
          </w:p>
        </w:tc>
      </w:tr>
      <w:tr w:rsidR="00052CC4" w:rsidRPr="00E6113B" w14:paraId="53342728" w14:textId="77777777" w:rsidTr="00E6113B">
        <w:trPr>
          <w:trHeight w:val="300"/>
          <w:jc w:val="center"/>
        </w:trPr>
        <w:tc>
          <w:tcPr>
            <w:tcW w:w="1508" w:type="dxa"/>
            <w:shd w:val="clear" w:color="auto" w:fill="auto"/>
            <w:noWrap/>
          </w:tcPr>
          <w:p w14:paraId="6A8A2F50" w14:textId="0DF6E796" w:rsidR="00FC7F7C" w:rsidRPr="00E6113B" w:rsidRDefault="00FC7F7C"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1081" w:type="dxa"/>
            <w:shd w:val="clear" w:color="auto" w:fill="auto"/>
            <w:noWrap/>
          </w:tcPr>
          <w:p w14:paraId="5245F092" w14:textId="363DB1A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602AE914" w14:textId="436BBA1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93C8E83" w14:textId="051DB68C"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FA3BE3" w:rsidRPr="00E6113B" w14:paraId="0D676E5B" w14:textId="77777777" w:rsidTr="00E6113B">
        <w:trPr>
          <w:trHeight w:val="300"/>
          <w:jc w:val="center"/>
        </w:trPr>
        <w:tc>
          <w:tcPr>
            <w:tcW w:w="1508" w:type="dxa"/>
            <w:shd w:val="clear" w:color="auto" w:fill="auto"/>
            <w:noWrap/>
          </w:tcPr>
          <w:p w14:paraId="1E91D483" w14:textId="73F620E0" w:rsidR="00EB0A03" w:rsidRPr="00E6113B" w:rsidRDefault="00EB0A03" w:rsidP="001160BD">
            <w:pPr>
              <w:widowControl/>
              <w:jc w:val="center"/>
              <w:rPr>
                <w:rFonts w:ascii="Century Gothic" w:eastAsia="Times New Roman" w:hAnsi="Century Gothic" w:cs="Calibri"/>
                <w:b/>
                <w:bCs/>
                <w:color w:val="000000"/>
                <w:sz w:val="24"/>
                <w:szCs w:val="24"/>
              </w:rPr>
            </w:pPr>
            <w:bookmarkStart w:id="30" w:name="_Hlk159942636"/>
            <w:r w:rsidRPr="00E6113B">
              <w:rPr>
                <w:rFonts w:ascii="Century Gothic" w:eastAsia="Times New Roman" w:hAnsi="Century Gothic" w:cs="Calibri"/>
                <w:b/>
                <w:bCs/>
                <w:color w:val="000000"/>
                <w:sz w:val="24"/>
                <w:szCs w:val="24"/>
              </w:rPr>
              <w:t>2021/2022</w:t>
            </w:r>
          </w:p>
        </w:tc>
        <w:tc>
          <w:tcPr>
            <w:tcW w:w="1081" w:type="dxa"/>
            <w:shd w:val="clear" w:color="auto" w:fill="auto"/>
            <w:noWrap/>
          </w:tcPr>
          <w:p w14:paraId="5B9269D9" w14:textId="745C44AB"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1AF395E2" w14:textId="0EFA9AB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auto"/>
            <w:noWrap/>
          </w:tcPr>
          <w:p w14:paraId="0DC9AFBC" w14:textId="1416483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FA3BE3" w:rsidRPr="00E6113B" w14:paraId="09CAA563" w14:textId="77777777" w:rsidTr="00E6113B">
        <w:trPr>
          <w:trHeight w:val="300"/>
          <w:jc w:val="center"/>
        </w:trPr>
        <w:tc>
          <w:tcPr>
            <w:tcW w:w="1508" w:type="dxa"/>
            <w:shd w:val="clear" w:color="auto" w:fill="auto"/>
            <w:noWrap/>
          </w:tcPr>
          <w:p w14:paraId="597C44A8" w14:textId="62ECE899"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0F62D6BF" w14:textId="17F669FA"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5DD51E93" w14:textId="5D13A4F1"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402C84A" w14:textId="4D8F835D"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bl>
    <w:bookmarkEnd w:id="30"/>
    <w:p w14:paraId="50262C69" w14:textId="73AEA4D8" w:rsidR="00DF2340" w:rsidRPr="00E6113B" w:rsidRDefault="00DF2340" w:rsidP="003E79E8">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and forest health. The California Forest Improvement Program</w:t>
      </w:r>
      <w:r w:rsidR="00C0320A" w:rsidRPr="00E6113B">
        <w:rPr>
          <w:rFonts w:ascii="Century Gothic" w:hAnsi="Century Gothic" w:cs="Calibri"/>
          <w:spacing w:val="-2"/>
          <w:sz w:val="24"/>
          <w:szCs w:val="24"/>
        </w:rPr>
        <w:t xml:space="preserve"> (CFIP)</w:t>
      </w:r>
      <w:r w:rsidRPr="00E6113B">
        <w:rPr>
          <w:rFonts w:ascii="Century Gothic" w:hAnsi="Century Gothic" w:cs="Calibri"/>
          <w:spacing w:val="-2"/>
          <w:sz w:val="24"/>
          <w:szCs w:val="24"/>
        </w:rPr>
        <w:t xml:space="preserve"> can be used by small </w:t>
      </w:r>
      <w:r w:rsidR="004E06F6"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for reimbursement of forestry practices that</w:t>
      </w:r>
      <w:r w:rsidR="00414383" w:rsidRPr="00E6113B">
        <w:rPr>
          <w:rFonts w:ascii="Century Gothic" w:hAnsi="Century Gothic" w:cs="Calibri"/>
          <w:spacing w:val="-2"/>
          <w:sz w:val="24"/>
          <w:szCs w:val="24"/>
        </w:rPr>
        <w:t xml:space="preserve"> improve the</w:t>
      </w:r>
      <w:r w:rsidRPr="00E6113B">
        <w:rPr>
          <w:rFonts w:ascii="Century Gothic" w:hAnsi="Century Gothic" w:cs="Calibri"/>
          <w:spacing w:val="-2"/>
          <w:sz w:val="24"/>
          <w:szCs w:val="24"/>
        </w:rPr>
        <w:t xml:space="preserve"> </w:t>
      </w:r>
      <w:r w:rsidR="00414383" w:rsidRPr="00E6113B">
        <w:rPr>
          <w:rFonts w:ascii="Century Gothic" w:hAnsi="Century Gothic" w:cs="Calibri"/>
          <w:spacing w:val="-2"/>
          <w:sz w:val="24"/>
          <w:szCs w:val="24"/>
        </w:rPr>
        <w:t>health and resilience of their lands</w:t>
      </w:r>
      <w:r w:rsidRPr="00E6113B">
        <w:rPr>
          <w:rFonts w:ascii="Century Gothic" w:hAnsi="Century Gothic" w:cs="Calibri"/>
          <w:spacing w:val="-2"/>
          <w:sz w:val="24"/>
          <w:szCs w:val="24"/>
        </w:rPr>
        <w:t>. These activities may include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practices. Additionally, CAL FIRE sponsors the Forest Health, Urban and Community Forestry, and Fire Prevention grants</w:t>
      </w:r>
      <w:r w:rsidR="00985A2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are funded through the Greenhouse Gas Reduction Fund. Part of their overarching goal is improving carbon sequestration by reducing the risk of wildfires and improving general </w:t>
      </w:r>
      <w:r w:rsidR="006627DA" w:rsidRPr="00E6113B">
        <w:rPr>
          <w:rFonts w:ascii="Century Gothic" w:hAnsi="Century Gothic" w:cs="Calibri"/>
          <w:spacing w:val="-2"/>
          <w:sz w:val="24"/>
          <w:szCs w:val="24"/>
        </w:rPr>
        <w:t xml:space="preserve">forest </w:t>
      </w:r>
      <w:r w:rsidRPr="00E6113B">
        <w:rPr>
          <w:rFonts w:ascii="Century Gothic" w:hAnsi="Century Gothic" w:cs="Calibri"/>
          <w:spacing w:val="-2"/>
          <w:sz w:val="24"/>
          <w:szCs w:val="24"/>
        </w:rPr>
        <w:t>health.</w:t>
      </w:r>
    </w:p>
    <w:p w14:paraId="22020F69" w14:textId="1D3A58D5" w:rsidR="00DF2340" w:rsidRPr="00E6113B" w:rsidRDefault="00DF2340" w:rsidP="006258EE">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Finally, CAL FIRE has </w:t>
      </w:r>
      <w:r w:rsidR="00985A2D" w:rsidRPr="00E6113B">
        <w:rPr>
          <w:rFonts w:ascii="Century Gothic" w:hAnsi="Century Gothic" w:cs="Calibri"/>
          <w:spacing w:val="-2"/>
          <w:sz w:val="24"/>
          <w:szCs w:val="24"/>
        </w:rPr>
        <w:t>developed</w:t>
      </w:r>
      <w:r w:rsidRPr="00E6113B">
        <w:rPr>
          <w:rFonts w:ascii="Century Gothic" w:hAnsi="Century Gothic" w:cs="Calibri"/>
          <w:spacing w:val="-2"/>
          <w:sz w:val="24"/>
          <w:szCs w:val="24"/>
        </w:rPr>
        <w:t xml:space="preserve"> designated fuels reduction crew</w:t>
      </w:r>
      <w:r w:rsidR="00CA3906" w:rsidRPr="00E6113B">
        <w:rPr>
          <w:rFonts w:ascii="Century Gothic" w:hAnsi="Century Gothic" w:cs="Calibri"/>
          <w:spacing w:val="-2"/>
          <w:sz w:val="24"/>
          <w:szCs w:val="24"/>
        </w:rPr>
        <w:t>s</w:t>
      </w:r>
      <w:r w:rsidRPr="00E6113B">
        <w:rPr>
          <w:rFonts w:ascii="Century Gothic" w:hAnsi="Century Gothic" w:cs="Calibri"/>
          <w:spacing w:val="-2"/>
          <w:sz w:val="24"/>
          <w:szCs w:val="24"/>
        </w:rPr>
        <w:t>. Previously, fuels reduction was often completed by local CAL FIRE teams when they were not figh</w:t>
      </w:r>
      <w:r w:rsidR="00985A2D" w:rsidRPr="00E6113B">
        <w:rPr>
          <w:rFonts w:ascii="Century Gothic" w:hAnsi="Century Gothic" w:cs="Calibri"/>
          <w:spacing w:val="-2"/>
          <w:sz w:val="24"/>
          <w:szCs w:val="24"/>
        </w:rPr>
        <w:t xml:space="preserve">ting fire. The development of </w:t>
      </w:r>
      <w:r w:rsidRPr="00E6113B">
        <w:rPr>
          <w:rFonts w:ascii="Century Gothic" w:hAnsi="Century Gothic" w:cs="Calibri"/>
          <w:spacing w:val="-2"/>
          <w:sz w:val="24"/>
          <w:szCs w:val="24"/>
        </w:rPr>
        <w:t>designated crew</w:t>
      </w:r>
      <w:r w:rsidR="00985A2D"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for fuels reduction is anticipated to </w:t>
      </w:r>
      <w:r w:rsidR="00985A2D" w:rsidRPr="00E6113B">
        <w:rPr>
          <w:rFonts w:ascii="Century Gothic" w:hAnsi="Century Gothic" w:cs="Calibri"/>
          <w:spacing w:val="-2"/>
          <w:sz w:val="24"/>
          <w:szCs w:val="24"/>
        </w:rPr>
        <w:t xml:space="preserve">increase </w:t>
      </w:r>
      <w:r w:rsidRPr="00E6113B">
        <w:rPr>
          <w:rFonts w:ascii="Century Gothic" w:hAnsi="Century Gothic" w:cs="Calibri"/>
          <w:spacing w:val="-2"/>
          <w:sz w:val="24"/>
          <w:szCs w:val="24"/>
        </w:rPr>
        <w:t xml:space="preserve">prescribed fire and manual fuels treatment numbers in the coming years.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crews </w:t>
      </w:r>
      <w:r w:rsidR="000F7001" w:rsidRPr="00E6113B">
        <w:rPr>
          <w:rFonts w:ascii="Century Gothic" w:hAnsi="Century Gothic" w:cs="Calibri"/>
          <w:spacing w:val="-2"/>
          <w:sz w:val="24"/>
          <w:szCs w:val="24"/>
        </w:rPr>
        <w:t>are</w:t>
      </w:r>
      <w:r w:rsidRPr="00E6113B">
        <w:rPr>
          <w:rFonts w:ascii="Century Gothic" w:hAnsi="Century Gothic" w:cs="Calibri"/>
          <w:spacing w:val="-2"/>
          <w:sz w:val="24"/>
          <w:szCs w:val="24"/>
        </w:rPr>
        <w:t xml:space="preserve"> headquartered in the Northern Region and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in the Southern Region. </w:t>
      </w:r>
      <w:r w:rsidR="00E7575C" w:rsidRPr="00E6113B">
        <w:rPr>
          <w:rFonts w:ascii="Century Gothic" w:hAnsi="Century Gothic" w:cs="Calibri"/>
          <w:spacing w:val="-2"/>
          <w:sz w:val="24"/>
          <w:szCs w:val="24"/>
        </w:rPr>
        <w:t xml:space="preserve">CAL FIRE approved </w:t>
      </w:r>
      <w:r w:rsidR="007473F6" w:rsidRPr="00E6113B">
        <w:rPr>
          <w:rFonts w:ascii="Century Gothic" w:hAnsi="Century Gothic" w:cs="Calibri"/>
          <w:spacing w:val="-2"/>
          <w:sz w:val="24"/>
          <w:szCs w:val="24"/>
        </w:rPr>
        <w:t>318</w:t>
      </w:r>
      <w:r w:rsidRPr="00E6113B">
        <w:rPr>
          <w:rFonts w:ascii="Century Gothic" w:hAnsi="Century Gothic" w:cs="Calibri"/>
          <w:spacing w:val="-2"/>
          <w:sz w:val="24"/>
          <w:szCs w:val="24"/>
        </w:rPr>
        <w:t xml:space="preserve"> </w:t>
      </w:r>
      <w:r w:rsidR="00337DAE" w:rsidRPr="00E6113B">
        <w:rPr>
          <w:rFonts w:ascii="Century Gothic" w:hAnsi="Century Gothic" w:cs="Calibri"/>
          <w:spacing w:val="-2"/>
          <w:sz w:val="24"/>
          <w:szCs w:val="24"/>
        </w:rPr>
        <w:t>applicants</w:t>
      </w:r>
      <w:r w:rsidR="00985A2D" w:rsidRPr="00E6113B">
        <w:rPr>
          <w:rFonts w:ascii="Century Gothic" w:hAnsi="Century Gothic" w:cs="Calibri"/>
          <w:spacing w:val="-2"/>
          <w:sz w:val="24"/>
          <w:szCs w:val="24"/>
        </w:rPr>
        <w:t xml:space="preserve"> </w:t>
      </w:r>
      <w:r w:rsidR="007473F6" w:rsidRPr="00E6113B">
        <w:rPr>
          <w:rFonts w:ascii="Century Gothic" w:hAnsi="Century Gothic" w:cs="Calibri"/>
          <w:spacing w:val="-2"/>
          <w:sz w:val="24"/>
          <w:szCs w:val="24"/>
        </w:rPr>
        <w:t>to take</w:t>
      </w:r>
      <w:r w:rsidRPr="00E6113B">
        <w:rPr>
          <w:rFonts w:ascii="Century Gothic" w:hAnsi="Century Gothic" w:cs="Calibri"/>
          <w:spacing w:val="-2"/>
          <w:sz w:val="24"/>
          <w:szCs w:val="24"/>
        </w:rPr>
        <w:t xml:space="preserve"> the</w:t>
      </w:r>
      <w:r w:rsidR="005A34AD" w:rsidRPr="00E6113B">
        <w:rPr>
          <w:rFonts w:ascii="Century Gothic" w:hAnsi="Century Gothic" w:cs="Calibri"/>
          <w:spacing w:val="-2"/>
          <w:sz w:val="24"/>
          <w:szCs w:val="24"/>
        </w:rPr>
        <w:t xml:space="preserve"> most recent</w:t>
      </w:r>
      <w:r w:rsidRPr="00E6113B">
        <w:rPr>
          <w:rFonts w:ascii="Century Gothic" w:hAnsi="Century Gothic" w:cs="Calibri"/>
          <w:spacing w:val="-2"/>
          <w:sz w:val="24"/>
          <w:szCs w:val="24"/>
        </w:rPr>
        <w:t xml:space="preserve"> Forestry Technician</w:t>
      </w:r>
      <w:r w:rsidR="00EC3386" w:rsidRPr="00E6113B">
        <w:rPr>
          <w:rFonts w:ascii="Century Gothic" w:hAnsi="Century Gothic" w:cs="Calibri"/>
          <w:spacing w:val="-2"/>
          <w:sz w:val="24"/>
          <w:szCs w:val="24"/>
        </w:rPr>
        <w:t xml:space="preserve"> exam</w:t>
      </w:r>
      <w:r w:rsidRPr="00E6113B">
        <w:rPr>
          <w:rFonts w:ascii="Century Gothic" w:hAnsi="Century Gothic" w:cs="Calibri"/>
          <w:spacing w:val="-2"/>
          <w:sz w:val="24"/>
          <w:szCs w:val="24"/>
        </w:rPr>
        <w:t xml:space="preserve">. </w:t>
      </w:r>
      <w:r w:rsidR="000F7001" w:rsidRPr="00E6113B">
        <w:rPr>
          <w:rFonts w:ascii="Century Gothic" w:hAnsi="Century Gothic" w:cs="Calibri"/>
          <w:spacing w:val="-2"/>
          <w:sz w:val="24"/>
          <w:szCs w:val="24"/>
        </w:rPr>
        <w:t xml:space="preserve">The </w:t>
      </w:r>
      <w:r w:rsidR="00CF4A67" w:rsidRPr="00E6113B">
        <w:rPr>
          <w:rFonts w:ascii="Century Gothic" w:hAnsi="Century Gothic" w:cs="Calibri"/>
          <w:spacing w:val="-2"/>
          <w:sz w:val="24"/>
          <w:szCs w:val="24"/>
        </w:rPr>
        <w:t xml:space="preserve">new </w:t>
      </w:r>
      <w:r w:rsidR="000F7001" w:rsidRPr="00E6113B">
        <w:rPr>
          <w:rFonts w:ascii="Century Gothic" w:hAnsi="Century Gothic" w:cs="Calibri"/>
          <w:spacing w:val="-2"/>
          <w:sz w:val="24"/>
          <w:szCs w:val="24"/>
        </w:rPr>
        <w:t>members of these crews are currently rotating between their required trainings and working in the field.</w:t>
      </w:r>
    </w:p>
    <w:p w14:paraId="2834C480" w14:textId="77777777" w:rsidR="005105BF" w:rsidRPr="00E6113B" w:rsidRDefault="005105BF" w:rsidP="005105BF">
      <w:pPr>
        <w:pStyle w:val="Heading2"/>
        <w:keepNext/>
        <w:ind w:left="0"/>
        <w:rPr>
          <w:rFonts w:ascii="Century Gothic" w:eastAsia="Calibri" w:hAnsi="Century Gothic" w:cs="Calibri"/>
          <w:sz w:val="30"/>
          <w:szCs w:val="30"/>
        </w:rPr>
      </w:pPr>
      <w:bookmarkStart w:id="31" w:name="_Toc169083978"/>
      <w:bookmarkStart w:id="32" w:name="_Toc89188562"/>
      <w:bookmarkStart w:id="33" w:name="_Hlk89097247"/>
      <w:bookmarkEnd w:id="27"/>
      <w:r w:rsidRPr="00E6113B">
        <w:rPr>
          <w:rFonts w:ascii="Century Gothic" w:hAnsi="Century Gothic" w:cs="Calibri"/>
          <w:sz w:val="30"/>
          <w:szCs w:val="30"/>
        </w:rPr>
        <w:lastRenderedPageBreak/>
        <w:t>California Vegetation Treatment Program (CalVTP)</w:t>
      </w:r>
      <w:bookmarkEnd w:id="31"/>
    </w:p>
    <w:p w14:paraId="5194049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 </w:t>
      </w:r>
    </w:p>
    <w:p w14:paraId="36805326" w14:textId="541F155F"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Two virtual training sessions were conducted in collaboration with Ascent Environmental, Inc, in the spring of 2021, and covered the practicalities of using the CalVTP for CEQA streamlining. These videos are available for viewing on the Board’s website. An additional six CalVTP trainings have been conducted in 2022 through California Polytechnic State University’s Swanton Pacific Ranch Fuels and Vegetation Management Education (FAVE) Training Program. Moreover, CAL FIRE now includes training on the CalVTP in their mandated CEQA training as of December 2022.</w:t>
      </w:r>
    </w:p>
    <w:p w14:paraId="740297D1" w14:textId="3131AEEE"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In 2021, the Board was allocated 2.4 million dollars to provide technical assistance to lead agencies for preparing Project-Specific Analyses (PSAs). Projects </w:t>
      </w:r>
      <w:r w:rsidRPr="00744900">
        <w:rPr>
          <w:rFonts w:ascii="Century Gothic" w:eastAsia="Times New Roman" w:hAnsi="Century Gothic"/>
          <w:color w:val="000000"/>
          <w:sz w:val="24"/>
          <w:szCs w:val="24"/>
          <w:shd w:val="clear" w:color="auto" w:fill="FFFFFF"/>
        </w:rPr>
        <w:t xml:space="preserve">were evaluated and selected to present a cross-section of contexts and examples in which the CalVTP can be used for CEQA compliance for eligible vegetation management projects. In collaboration with Ascent Environmental, Board staff identified </w:t>
      </w:r>
      <w:r w:rsidR="00744900" w:rsidRPr="00744900">
        <w:rPr>
          <w:rFonts w:ascii="Century Gothic" w:eastAsia="Times New Roman" w:hAnsi="Century Gothic"/>
          <w:color w:val="000000"/>
          <w:sz w:val="24"/>
          <w:szCs w:val="24"/>
          <w:shd w:val="clear" w:color="auto" w:fill="FFFFFF"/>
        </w:rPr>
        <w:t>15</w:t>
      </w:r>
      <w:r w:rsidRPr="00744900">
        <w:rPr>
          <w:rFonts w:ascii="Century Gothic" w:eastAsia="Times New Roman" w:hAnsi="Century Gothic"/>
          <w:color w:val="000000"/>
          <w:sz w:val="24"/>
          <w:szCs w:val="24"/>
          <w:shd w:val="clear" w:color="auto" w:fill="FFFFFF"/>
        </w:rPr>
        <w:t xml:space="preserve"> projects covering treatments on </w:t>
      </w:r>
      <w:r w:rsidR="00744900" w:rsidRPr="00744900">
        <w:rPr>
          <w:rFonts w:ascii="Century Gothic" w:eastAsia="Times New Roman" w:hAnsi="Century Gothic"/>
          <w:color w:val="000000"/>
          <w:sz w:val="24"/>
          <w:szCs w:val="24"/>
          <w:shd w:val="clear" w:color="auto" w:fill="FFFFFF"/>
        </w:rPr>
        <w:t>82,369</w:t>
      </w:r>
      <w:r w:rsidRPr="00744900">
        <w:rPr>
          <w:rFonts w:ascii="Century Gothic" w:eastAsia="Times New Roman" w:hAnsi="Century Gothic"/>
          <w:color w:val="000000"/>
          <w:sz w:val="24"/>
          <w:szCs w:val="24"/>
          <w:shd w:val="clear" w:color="auto" w:fill="FFFFFF"/>
        </w:rPr>
        <w:t xml:space="preserve"> acres to support technical assistance in the development of PSAs under the</w:t>
      </w:r>
      <w:r w:rsidRPr="00E6113B">
        <w:rPr>
          <w:rFonts w:ascii="Century Gothic" w:eastAsia="Times New Roman" w:hAnsi="Century Gothic"/>
          <w:color w:val="000000"/>
          <w:sz w:val="24"/>
          <w:szCs w:val="24"/>
          <w:shd w:val="clear" w:color="auto" w:fill="FFFFFF"/>
        </w:rPr>
        <w:t xml:space="preserve"> CalVTP PEIR. </w:t>
      </w:r>
    </w:p>
    <w:p w14:paraId="228723EA" w14:textId="246E16D0"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Ascent Environmental </w:t>
      </w:r>
      <w:r w:rsidR="00987443" w:rsidRPr="00E6113B">
        <w:rPr>
          <w:rFonts w:ascii="Century Gothic" w:eastAsia="Times New Roman" w:hAnsi="Century Gothic"/>
          <w:color w:val="000000"/>
          <w:sz w:val="24"/>
          <w:szCs w:val="24"/>
          <w:shd w:val="clear" w:color="auto" w:fill="FFFFFF"/>
        </w:rPr>
        <w:t>finalized</w:t>
      </w:r>
      <w:r w:rsidRPr="00E6113B">
        <w:rPr>
          <w:rFonts w:ascii="Century Gothic" w:eastAsia="Times New Roman" w:hAnsi="Century Gothic"/>
          <w:color w:val="000000"/>
          <w:sz w:val="24"/>
          <w:szCs w:val="24"/>
          <w:shd w:val="clear" w:color="auto" w:fill="FFFFFF"/>
        </w:rPr>
        <w:t xml:space="preserve"> a white paper on the “Evaluation of Air Quality and Climate Change Impacts from Specialized Biomass Processing Technologies under the California Vegetation Treatment Program.” This paper was produced under this initial early action contract to provide information to project proponents seeking to include specialized biomass processing technologies that were not contemplated in the Program EIR and thus not included in their Project Specific Analysis or addenda. This paper provides evidence to support a conclusion that the technologies meet the intent of Mitigation Measure GHG-2 in the Program EIR and would not result in new significant environmental impacts or substantially more severe significant impacts beyond effects already covered in the Program EIR. The analysis also concludes that the GHG, criteria pollutant, and smoke/odor emissions from biomass processing by pile burning can be reduced by use of the specialized technologies. </w:t>
      </w:r>
    </w:p>
    <w:p w14:paraId="35798C91" w14:textId="67CFDA1C"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The Board was allocated an additional </w:t>
      </w:r>
      <w:r w:rsidR="00987443" w:rsidRPr="00E6113B">
        <w:rPr>
          <w:rFonts w:ascii="Century Gothic" w:eastAsia="Times New Roman" w:hAnsi="Century Gothic"/>
          <w:color w:val="000000"/>
          <w:sz w:val="24"/>
          <w:szCs w:val="24"/>
          <w:shd w:val="clear" w:color="auto" w:fill="FFFFFF"/>
        </w:rPr>
        <w:t xml:space="preserve">two </w:t>
      </w:r>
      <w:r w:rsidRPr="00E6113B">
        <w:rPr>
          <w:rFonts w:ascii="Century Gothic" w:eastAsia="Times New Roman" w:hAnsi="Century Gothic"/>
          <w:color w:val="000000"/>
          <w:sz w:val="24"/>
          <w:szCs w:val="24"/>
          <w:shd w:val="clear" w:color="auto" w:fill="FFFFFF"/>
        </w:rPr>
        <w:t>million dollars in 2022 to provide further technical assistance to lead agencies</w:t>
      </w:r>
      <w:r w:rsidR="00987443" w:rsidRPr="00E6113B">
        <w:rPr>
          <w:rFonts w:ascii="Century Gothic" w:eastAsia="Times New Roman" w:hAnsi="Century Gothic"/>
          <w:color w:val="000000"/>
          <w:sz w:val="24"/>
          <w:szCs w:val="24"/>
          <w:shd w:val="clear" w:color="auto" w:fill="FFFFFF"/>
        </w:rPr>
        <w:t>. Ascent was again the successful bidder and they continue to develop Project Scale Analyses for lead agencies</w:t>
      </w:r>
      <w:r w:rsidRPr="00E6113B">
        <w:rPr>
          <w:rFonts w:ascii="Century Gothic" w:eastAsia="Times New Roman" w:hAnsi="Century Gothic"/>
          <w:color w:val="000000"/>
          <w:sz w:val="24"/>
          <w:szCs w:val="24"/>
          <w:shd w:val="clear" w:color="auto" w:fill="FFFFFF"/>
        </w:rPr>
        <w:t xml:space="preserve">. </w:t>
      </w:r>
    </w:p>
    <w:p w14:paraId="0B5B85D5" w14:textId="77777777" w:rsidR="00FD6351" w:rsidRDefault="00FD6351" w:rsidP="00FD6351">
      <w:pPr>
        <w:spacing w:before="100" w:beforeAutospacing="1" w:after="100" w:afterAutospacing="1"/>
        <w:rPr>
          <w:rStyle w:val="Hyperlink"/>
          <w:rFonts w:ascii="Century Gothic" w:eastAsia="Times New Roman" w:hAnsi="Century Gothic"/>
          <w:sz w:val="24"/>
          <w:szCs w:val="24"/>
          <w:shd w:val="clear" w:color="auto" w:fill="FFFFFF"/>
        </w:rPr>
      </w:pPr>
      <w:r w:rsidRPr="00E6113B">
        <w:rPr>
          <w:rFonts w:ascii="Century Gothic" w:eastAsia="Times New Roman" w:hAnsi="Century Gothic"/>
          <w:color w:val="000000"/>
          <w:sz w:val="24"/>
          <w:szCs w:val="24"/>
          <w:shd w:val="clear" w:color="auto" w:fill="FFFFFF"/>
        </w:rPr>
        <w:t xml:space="preserve">As of December 31, 2023, of 120 projects, 93 had been approved for implementation, and </w:t>
      </w:r>
      <w:r w:rsidRPr="00E6113B">
        <w:rPr>
          <w:rFonts w:ascii="Century Gothic" w:eastAsia="Times New Roman" w:hAnsi="Century Gothic"/>
          <w:color w:val="000000"/>
          <w:sz w:val="24"/>
          <w:szCs w:val="24"/>
          <w:shd w:val="clear" w:color="auto" w:fill="FFFFFF"/>
        </w:rPr>
        <w:lastRenderedPageBreak/>
        <w:t xml:space="preserve">the environmental documentation (i.e., Project Specific Analysis and supporting addendums, if any) certifying fulfilment of the CEQA compliance is posted on the Board’s webpage for </w:t>
      </w:r>
      <w:hyperlink r:id="rId40" w:history="1">
        <w:r w:rsidRPr="00E6113B">
          <w:rPr>
            <w:rStyle w:val="Hyperlink"/>
            <w:rFonts w:ascii="Century Gothic" w:eastAsia="Times New Roman" w:hAnsi="Century Gothic"/>
            <w:sz w:val="24"/>
            <w:szCs w:val="24"/>
            <w:shd w:val="clear" w:color="auto" w:fill="FFFFFF"/>
          </w:rPr>
          <w:t>Environmental Documentation for Approved Projects</w:t>
        </w:r>
      </w:hyperlink>
      <w:r w:rsidR="00744900">
        <w:rPr>
          <w:rStyle w:val="Hyperlink"/>
          <w:rFonts w:ascii="Century Gothic" w:eastAsia="Times New Roman" w:hAnsi="Century Gothic"/>
          <w:sz w:val="24"/>
          <w:szCs w:val="24"/>
          <w:shd w:val="clear" w:color="auto" w:fill="FFFFFF"/>
        </w:rPr>
        <w:t>.</w:t>
      </w:r>
    </w:p>
    <w:p w14:paraId="52EE9EB1" w14:textId="77777777" w:rsidR="00141E4D" w:rsidRDefault="00141E4D" w:rsidP="00FD6351">
      <w:pPr>
        <w:spacing w:before="100" w:beforeAutospacing="1" w:after="100" w:afterAutospacing="1"/>
        <w:rPr>
          <w:rStyle w:val="Hyperlink"/>
          <w:rFonts w:ascii="Century Gothic" w:eastAsia="Times New Roman" w:hAnsi="Century Gothic"/>
          <w:sz w:val="24"/>
          <w:szCs w:val="24"/>
          <w:shd w:val="clear" w:color="auto" w:fill="FFFFFF"/>
        </w:rPr>
      </w:pPr>
    </w:p>
    <w:p w14:paraId="274AD6ED" w14:textId="77777777"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44BF82AD" w14:textId="596EE46C" w:rsidR="00141E4D" w:rsidRPr="00E6113B" w:rsidRDefault="00141E4D" w:rsidP="00FD6351">
      <w:pPr>
        <w:spacing w:before="100" w:beforeAutospacing="1" w:after="100" w:afterAutospacing="1"/>
        <w:rPr>
          <w:rFonts w:ascii="Century Gothic" w:eastAsia="Times New Roman" w:hAnsi="Century Gothic"/>
          <w:color w:val="000000"/>
          <w:sz w:val="24"/>
          <w:szCs w:val="24"/>
          <w:shd w:val="clear" w:color="auto" w:fill="FFFFFF"/>
        </w:rPr>
        <w:sectPr w:rsidR="00141E4D" w:rsidRPr="00E6113B" w:rsidSect="004E4589">
          <w:footnotePr>
            <w:pos w:val="beneathText"/>
          </w:footnotePr>
          <w:type w:val="continuous"/>
          <w:pgSz w:w="12240" w:h="15840"/>
          <w:pgMar w:top="1440" w:right="720" w:bottom="1440" w:left="720" w:header="736" w:footer="1048" w:gutter="0"/>
          <w:cols w:space="720"/>
          <w:docGrid w:linePitch="299"/>
        </w:sectPr>
      </w:pPr>
    </w:p>
    <w:p w14:paraId="469B5C4E" w14:textId="755AC145"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lastRenderedPageBreak/>
        <w:t xml:space="preserve">Figure </w:t>
      </w:r>
      <w:r w:rsidR="00744900">
        <w:rPr>
          <w:rFonts w:ascii="Century Gothic" w:eastAsia="Times New Roman" w:hAnsi="Century Gothic"/>
          <w:b/>
          <w:bCs/>
          <w:color w:val="000000"/>
          <w:sz w:val="24"/>
          <w:szCs w:val="24"/>
          <w:shd w:val="clear" w:color="auto" w:fill="FFFFFF"/>
        </w:rPr>
        <w:t>11</w:t>
      </w:r>
      <w:r w:rsidRPr="00E6113B">
        <w:rPr>
          <w:rFonts w:ascii="Century Gothic" w:eastAsia="Times New Roman" w:hAnsi="Century Gothic"/>
          <w:b/>
          <w:bCs/>
          <w:color w:val="000000"/>
          <w:sz w:val="24"/>
          <w:szCs w:val="24"/>
          <w:shd w:val="clear" w:color="auto" w:fill="FFFFFF"/>
        </w:rPr>
        <w:t>. Vegetation Treatment Projects Proposed for or Certified under the CalVTP as of December 31, 2023.</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722"/>
        <w:gridCol w:w="5580"/>
        <w:gridCol w:w="1609"/>
      </w:tblGrid>
      <w:tr w:rsidR="00FD6351" w:rsidRPr="00E6113B" w14:paraId="2DF8951F"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130F341"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xml:space="preserve"># Total Projects </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F0D31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120</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ADDED7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Acres Approved for Treatment (Footprint)*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EBFA9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190,653</w:t>
            </w:r>
          </w:p>
        </w:tc>
      </w:tr>
      <w:tr w:rsidR="00FD6351" w:rsidRPr="00E6113B" w14:paraId="71CA5D16"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D972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bookmarkStart w:id="34" w:name="_Hlk130231174" w:colFirst="2" w:colLast="3"/>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DC6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7E553A4C"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A63FB"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83,012</w:t>
            </w:r>
          </w:p>
        </w:tc>
      </w:tr>
      <w:tr w:rsidR="00FD6351" w:rsidRPr="00E6113B" w14:paraId="30A6717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20B1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FE2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2A943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A14A2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65,079</w:t>
            </w:r>
          </w:p>
        </w:tc>
      </w:tr>
      <w:tr w:rsidR="00FD6351" w:rsidRPr="00E6113B" w14:paraId="614879A8"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BBE2A"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B4C9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ED6161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A7D5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134,730</w:t>
            </w:r>
          </w:p>
        </w:tc>
      </w:tr>
      <w:tr w:rsidR="00FD6351" w:rsidRPr="00E6113B" w14:paraId="15D01670"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FFB3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048CD9"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49C38F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418D21"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82,826</w:t>
            </w:r>
          </w:p>
        </w:tc>
      </w:tr>
      <w:tr w:rsidR="00FD6351" w:rsidRPr="00E6113B" w14:paraId="64739F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98C4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80FA3"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38CC936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F3F7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72,475</w:t>
            </w:r>
          </w:p>
        </w:tc>
      </w:tr>
      <w:tr w:rsidR="00FD6351" w:rsidRPr="00E6113B" w14:paraId="7C2F728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29D8B"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2B82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6FCE7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518A32"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40,851</w:t>
            </w:r>
          </w:p>
        </w:tc>
      </w:tr>
      <w:bookmarkEnd w:id="34"/>
      <w:tr w:rsidR="00FD6351" w:rsidRPr="00E6113B" w14:paraId="1F3D21B2" w14:textId="77777777" w:rsidTr="00FD6351">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4348D6F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 Projects with Reported Treatments**</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6BB7B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17</w:t>
            </w: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2B74D11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Reported Acres of Completed Treatments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60366"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r w:rsidRPr="00E6113B">
              <w:rPr>
                <w:rFonts w:ascii="Century Gothic" w:eastAsia="Times New Roman" w:hAnsi="Century Gothic"/>
                <w:b/>
                <w:bCs/>
                <w:color w:val="000000"/>
                <w:sz w:val="24"/>
                <w:szCs w:val="24"/>
                <w:shd w:val="clear" w:color="auto" w:fill="FFFFFF"/>
              </w:rPr>
              <w:t>1,895</w:t>
            </w:r>
          </w:p>
        </w:tc>
      </w:tr>
      <w:tr w:rsidR="00FD6351" w:rsidRPr="00E6113B" w14:paraId="652E4F3A"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4261A4"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877FE"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1210139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CBF979"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1,096</w:t>
            </w:r>
          </w:p>
        </w:tc>
      </w:tr>
      <w:tr w:rsidR="00FD6351" w:rsidRPr="00E6113B" w14:paraId="67E31BC7"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A24DB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C6A0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ACC74B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A793EF"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2,063</w:t>
            </w:r>
          </w:p>
        </w:tc>
      </w:tr>
      <w:tr w:rsidR="00FD6351" w:rsidRPr="00E6113B" w14:paraId="32471E7F"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D872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5845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4528313"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7B53B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896</w:t>
            </w:r>
          </w:p>
        </w:tc>
      </w:tr>
      <w:tr w:rsidR="00FD6351" w:rsidRPr="00E6113B" w14:paraId="678BDA3B"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9BC82"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1C748"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03F6D8F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E6455"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800</w:t>
            </w:r>
          </w:p>
        </w:tc>
      </w:tr>
      <w:tr w:rsidR="00FD6351" w:rsidRPr="00E6113B" w14:paraId="71B84BD2"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002F7"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EAF65"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6B5BA4A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C8C19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200</w:t>
            </w:r>
          </w:p>
        </w:tc>
      </w:tr>
      <w:tr w:rsidR="00FD6351" w:rsidRPr="00E6113B" w14:paraId="2B9B0849" w14:textId="77777777" w:rsidTr="00FD6351">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1A270"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72EF" w14:textId="77777777" w:rsidR="00FD6351" w:rsidRPr="00E6113B" w:rsidRDefault="00FD6351" w:rsidP="00FD6351">
            <w:pPr>
              <w:spacing w:before="100" w:beforeAutospacing="1" w:after="100" w:afterAutospacing="1"/>
              <w:rPr>
                <w:rFonts w:ascii="Century Gothic" w:eastAsia="Times New Roman" w:hAnsi="Century Gothic"/>
                <w:b/>
                <w:bCs/>
                <w:color w:val="000000"/>
                <w:sz w:val="24"/>
                <w:szCs w:val="24"/>
                <w:shd w:val="clear" w:color="auto" w:fill="FFFFFF"/>
              </w:rPr>
            </w:pPr>
          </w:p>
        </w:tc>
        <w:tc>
          <w:tcPr>
            <w:tcW w:w="2535" w:type="pct"/>
            <w:tcBorders>
              <w:top w:val="single" w:sz="4" w:space="0" w:color="auto"/>
              <w:left w:val="single" w:sz="4" w:space="0" w:color="auto"/>
              <w:bottom w:val="single" w:sz="4" w:space="0" w:color="auto"/>
              <w:right w:val="single" w:sz="4" w:space="0" w:color="auto"/>
            </w:tcBorders>
            <w:shd w:val="clear" w:color="auto" w:fill="EAF1DD" w:themeFill="accent3" w:themeFillTint="33"/>
            <w:tcMar>
              <w:top w:w="0" w:type="dxa"/>
              <w:left w:w="108" w:type="dxa"/>
              <w:bottom w:w="0" w:type="dxa"/>
              <w:right w:w="108" w:type="dxa"/>
            </w:tcMar>
            <w:hideMark/>
          </w:tcPr>
          <w:p w14:paraId="55A32944"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30BDD"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654</w:t>
            </w:r>
          </w:p>
        </w:tc>
      </w:tr>
      <w:tr w:rsidR="00FD6351" w:rsidRPr="00E6113B" w14:paraId="63E8CDCE" w14:textId="77777777" w:rsidTr="00FD6351">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75999AAE"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 xml:space="preserve">* </w:t>
            </w:r>
            <w:r w:rsidRPr="00E6113B">
              <w:rPr>
                <w:rFonts w:ascii="Century Gothic" w:eastAsia="Times New Roman" w:hAnsi="Century Gothic"/>
                <w:color w:val="000000"/>
                <w:sz w:val="24"/>
                <w:szCs w:val="24"/>
                <w:shd w:val="clear" w:color="auto" w:fill="FFFFFF"/>
              </w:rPr>
              <w:t xml:space="preserve"> The sum of acres for the treatment footprint will not match the sum of acres by treatment activity, as treatment activities may overlap temporo-geospatially. </w:t>
            </w:r>
          </w:p>
          <w:p w14:paraId="20CFEDF7"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vertAlign w:val="superscript"/>
              </w:rPr>
              <w:t>**</w:t>
            </w:r>
            <w:r w:rsidRPr="00E6113B">
              <w:rPr>
                <w:rFonts w:ascii="Century Gothic" w:eastAsia="Times New Roman" w:hAnsi="Century Gothic"/>
                <w:color w:val="000000"/>
                <w:sz w:val="24"/>
                <w:szCs w:val="24"/>
                <w:shd w:val="clear" w:color="auto" w:fill="FFFFFF"/>
              </w:rPr>
              <w:t>This is the most accurate reflection of treated acres, given that acres approved for treatment may or may not be treated depending on a variety of factors. Project proponents are not required to report treated acres until projects are complete and closed. The Board of Forestry &amp; Fire Protection makes efforts to collect treatment data on a regular basis but cannot compel reporting before a project is closed.</w:t>
            </w:r>
          </w:p>
        </w:tc>
      </w:tr>
    </w:tbl>
    <w:p w14:paraId="4114EAFC"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New features rolled out in 2023 include the CalVTP Resource Library, which features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 </w:t>
      </w:r>
    </w:p>
    <w:p w14:paraId="5A87AE38" w14:textId="77777777" w:rsidR="00FD6351" w:rsidRPr="00E6113B" w:rsidRDefault="00FD6351" w:rsidP="00FD6351">
      <w:p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Several new endeavors are in various stages of development and implementation to improve the CalVTP reporting process and quality of the data received by lead and implementing agencies, with expected completion and roll-out in 2024, including: </w:t>
      </w:r>
    </w:p>
    <w:p w14:paraId="22339108" w14:textId="2BEF62CD"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Online submission of Approved and Completed Projects, including Treatment Reporting, using GIS Web Applications</w:t>
      </w:r>
      <w:r w:rsidR="00987443" w:rsidRPr="00E6113B">
        <w:rPr>
          <w:rFonts w:ascii="Century Gothic" w:eastAsia="Times New Roman" w:hAnsi="Century Gothic"/>
          <w:color w:val="000000"/>
          <w:sz w:val="24"/>
          <w:szCs w:val="24"/>
          <w:shd w:val="clear" w:color="auto" w:fill="FFFFFF"/>
        </w:rPr>
        <w:t>.</w:t>
      </w:r>
    </w:p>
    <w:p w14:paraId="2F4FAEF5" w14:textId="77777777" w:rsidR="00FD6351" w:rsidRPr="00E6113B" w:rsidRDefault="00FD6351" w:rsidP="00FD6351">
      <w:pPr>
        <w:numPr>
          <w:ilvl w:val="0"/>
          <w:numId w:val="19"/>
        </w:numPr>
        <w:spacing w:before="100" w:beforeAutospacing="1" w:after="100" w:afterAutospacing="1"/>
        <w:rPr>
          <w:rFonts w:ascii="Century Gothic" w:eastAsia="Times New Roman" w:hAnsi="Century Gothic"/>
          <w:color w:val="000000"/>
          <w:sz w:val="24"/>
          <w:szCs w:val="24"/>
          <w:shd w:val="clear" w:color="auto" w:fill="FFFFFF"/>
        </w:rPr>
      </w:pPr>
      <w:r w:rsidRPr="00E6113B">
        <w:rPr>
          <w:rFonts w:ascii="Century Gothic" w:eastAsia="Times New Roman" w:hAnsi="Century Gothic"/>
          <w:color w:val="000000"/>
          <w:sz w:val="24"/>
          <w:szCs w:val="24"/>
          <w:shd w:val="clear" w:color="auto" w:fill="FFFFFF"/>
        </w:rPr>
        <w:t xml:space="preserve">A CalVTP Report Summary platform for internal agency use. </w:t>
      </w:r>
    </w:p>
    <w:p w14:paraId="5FFBD996" w14:textId="77777777" w:rsidR="00F348C7" w:rsidRPr="00E6113B" w:rsidRDefault="00F348C7" w:rsidP="00D10578">
      <w:pPr>
        <w:pStyle w:val="Heading1"/>
      </w:pPr>
      <w:bookmarkStart w:id="35" w:name="_Toc169083979"/>
      <w:bookmarkStart w:id="36" w:name="_Hlk28933286"/>
      <w:bookmarkStart w:id="37" w:name="_Hlk87888881"/>
      <w:bookmarkEnd w:id="32"/>
      <w:bookmarkEnd w:id="33"/>
      <w:r w:rsidRPr="00E6113B">
        <w:lastRenderedPageBreak/>
        <w:t>Wildfire Activity</w:t>
      </w:r>
      <w:bookmarkEnd w:id="35"/>
    </w:p>
    <w:p w14:paraId="1D86F396" w14:textId="4B68F067" w:rsidR="00FD6351" w:rsidRPr="00E6113B" w:rsidRDefault="00D30EAF" w:rsidP="00F348C7">
      <w:pPr>
        <w:widowControl/>
        <w:spacing w:after="240" w:line="259" w:lineRule="auto"/>
        <w:rPr>
          <w:rFonts w:ascii="Century Gothic" w:hAnsi="Century Gothic" w:cs="Calibri"/>
          <w:sz w:val="24"/>
          <w:szCs w:val="24"/>
        </w:rPr>
        <w:sectPr w:rsidR="00FD6351"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t xml:space="preserve">The 2023 fire season in California, marked by proactive management and favorable weather conditions, saw a substantial decrease in both the number of wildfires and the total acreage burned compared to the 5-year average. The total acreage burned was remarkably lower, with approximately 250,000 acres affected, significantly less than the 5-year average of over 2,300,000 acres. </w:t>
      </w:r>
    </w:p>
    <w:p w14:paraId="660C24B9" w14:textId="70832A98" w:rsidR="00F348C7" w:rsidRPr="00E6113B" w:rsidRDefault="00FD6351" w:rsidP="00F348C7">
      <w:pPr>
        <w:widowControl/>
        <w:spacing w:after="240" w:line="259" w:lineRule="auto"/>
        <w:rPr>
          <w:rFonts w:ascii="Century Gothic" w:hAnsi="Century Gothic" w:cs="Calibri"/>
          <w:sz w:val="24"/>
          <w:szCs w:val="24"/>
        </w:rPr>
      </w:pPr>
      <w:r w:rsidRPr="00E6113B">
        <w:rPr>
          <w:rFonts w:ascii="Century Gothic" w:hAnsi="Century Gothic" w:cs="Calibri"/>
          <w:sz w:val="24"/>
          <w:szCs w:val="24"/>
        </w:rPr>
        <w:t>The efforts of CAL FIRE, coupled with improved resource management and community preparedness, played a key role in mitigating the impact of wildfires throughout the state. Additionally, the widespread adoption of preventive measures, such as controlled burns and vegetation management, contributed to the overall reduction in fire severity and scale. This year serves as a testament to the effectiveness of strategic planning and collaborative efforts in wildfire management.</w:t>
      </w:r>
    </w:p>
    <w:p w14:paraId="6C786416" w14:textId="63410B66" w:rsidR="00F348C7" w:rsidRPr="00744900" w:rsidRDefault="00744900" w:rsidP="00F348C7">
      <w:pPr>
        <w:widowControl/>
        <w:spacing w:after="240" w:line="259" w:lineRule="auto"/>
        <w:rPr>
          <w:rFonts w:ascii="Century Gothic" w:hAnsi="Century Gothic" w:cs="Calibri"/>
          <w:b/>
          <w:bCs/>
          <w:sz w:val="26"/>
          <w:szCs w:val="26"/>
        </w:rPr>
      </w:pPr>
      <w:r w:rsidRPr="00744900">
        <w:rPr>
          <w:rFonts w:ascii="Century Gothic" w:hAnsi="Century Gothic" w:cs="Calibri"/>
          <w:b/>
          <w:bCs/>
          <w:sz w:val="26"/>
          <w:szCs w:val="26"/>
        </w:rPr>
        <w:t xml:space="preserve">Figure 12. </w:t>
      </w:r>
      <w:r w:rsidR="00F348C7" w:rsidRPr="00744900">
        <w:rPr>
          <w:rFonts w:ascii="Century Gothic" w:hAnsi="Century Gothic" w:cs="Calibri"/>
          <w:b/>
          <w:bCs/>
          <w:sz w:val="26"/>
          <w:szCs w:val="26"/>
        </w:rPr>
        <w:t xml:space="preserve">Top </w:t>
      </w:r>
      <w:r w:rsidR="00657C7E" w:rsidRPr="00744900">
        <w:rPr>
          <w:rFonts w:ascii="Century Gothic" w:hAnsi="Century Gothic" w:cs="Calibri"/>
          <w:b/>
          <w:bCs/>
          <w:sz w:val="26"/>
          <w:szCs w:val="26"/>
        </w:rPr>
        <w:t xml:space="preserve">2023 </w:t>
      </w:r>
      <w:r w:rsidR="00F348C7" w:rsidRPr="00744900">
        <w:rPr>
          <w:rFonts w:ascii="Century Gothic" w:hAnsi="Century Gothic" w:cs="Calibri"/>
          <w:b/>
          <w:b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95A3E0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Smith River Complex</w:t>
            </w:r>
          </w:p>
        </w:tc>
        <w:tc>
          <w:tcPr>
            <w:tcW w:w="2166" w:type="dxa"/>
            <w:vAlign w:val="center"/>
          </w:tcPr>
          <w:p w14:paraId="169807BD" w14:textId="6CDE5E88"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16DAD15" w14:textId="4DD025D1"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Del Norte</w:t>
            </w:r>
          </w:p>
        </w:tc>
        <w:tc>
          <w:tcPr>
            <w:tcW w:w="2520" w:type="dxa"/>
            <w:vAlign w:val="center"/>
          </w:tcPr>
          <w:p w14:paraId="4795ED26" w14:textId="062A7DE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95,107</w:t>
            </w:r>
          </w:p>
        </w:tc>
      </w:tr>
      <w:tr w:rsidR="00F348C7" w:rsidRPr="00E6113B" w14:paraId="320DD698" w14:textId="77777777" w:rsidTr="00092406">
        <w:trPr>
          <w:trHeight w:val="467"/>
        </w:trPr>
        <w:tc>
          <w:tcPr>
            <w:tcW w:w="2640" w:type="dxa"/>
            <w:vAlign w:val="center"/>
          </w:tcPr>
          <w:p w14:paraId="68BE44EA" w14:textId="5729A3D7"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York Fire</w:t>
            </w:r>
          </w:p>
        </w:tc>
        <w:tc>
          <w:tcPr>
            <w:tcW w:w="2166" w:type="dxa"/>
            <w:vAlign w:val="center"/>
          </w:tcPr>
          <w:p w14:paraId="6666ADE8" w14:textId="4FD9C980"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0C2A8283" w14:textId="6C0AAD85"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San Bernardino</w:t>
            </w:r>
          </w:p>
        </w:tc>
        <w:tc>
          <w:tcPr>
            <w:tcW w:w="2520" w:type="dxa"/>
            <w:vAlign w:val="center"/>
          </w:tcPr>
          <w:p w14:paraId="55DD9E46" w14:textId="45CDD1B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93,078</w:t>
            </w:r>
          </w:p>
        </w:tc>
      </w:tr>
      <w:tr w:rsidR="00F348C7" w:rsidRPr="00E6113B" w14:paraId="0C02F001" w14:textId="77777777" w:rsidTr="00E6113B">
        <w:trPr>
          <w:trHeight w:val="962"/>
        </w:trPr>
        <w:tc>
          <w:tcPr>
            <w:tcW w:w="2640" w:type="dxa"/>
            <w:vAlign w:val="center"/>
          </w:tcPr>
          <w:p w14:paraId="57EE6606" w14:textId="16E1B18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SRF Lightning Complex</w:t>
            </w:r>
          </w:p>
        </w:tc>
        <w:tc>
          <w:tcPr>
            <w:tcW w:w="2166" w:type="dxa"/>
            <w:vAlign w:val="center"/>
          </w:tcPr>
          <w:p w14:paraId="6FCCE817" w14:textId="04F27019"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22F0BA7C" w14:textId="2C427C5F"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Humboldt</w:t>
            </w:r>
          </w:p>
        </w:tc>
        <w:tc>
          <w:tcPr>
            <w:tcW w:w="2520" w:type="dxa"/>
            <w:vAlign w:val="center"/>
          </w:tcPr>
          <w:p w14:paraId="082EF1E7" w14:textId="416571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50,198</w:t>
            </w:r>
          </w:p>
        </w:tc>
      </w:tr>
      <w:tr w:rsidR="00F348C7" w:rsidRPr="00E6113B" w14:paraId="5ADB8686" w14:textId="77777777" w:rsidTr="00092406">
        <w:trPr>
          <w:trHeight w:val="485"/>
        </w:trPr>
        <w:tc>
          <w:tcPr>
            <w:tcW w:w="2640" w:type="dxa"/>
            <w:vAlign w:val="center"/>
          </w:tcPr>
          <w:p w14:paraId="67BE1BF8" w14:textId="7192581D"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b/>
                <w:bCs/>
                <w:sz w:val="24"/>
                <w:szCs w:val="24"/>
              </w:rPr>
              <w:t>Happy Camp Complex</w:t>
            </w:r>
          </w:p>
        </w:tc>
        <w:tc>
          <w:tcPr>
            <w:tcW w:w="2166" w:type="dxa"/>
            <w:vAlign w:val="center"/>
          </w:tcPr>
          <w:p w14:paraId="0343EF7C" w14:textId="1268218E"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August 2023</w:t>
            </w:r>
          </w:p>
        </w:tc>
        <w:tc>
          <w:tcPr>
            <w:tcW w:w="3510" w:type="dxa"/>
            <w:vAlign w:val="center"/>
          </w:tcPr>
          <w:p w14:paraId="60471B39" w14:textId="70188E65" w:rsidR="00F348C7" w:rsidRPr="00E6113B" w:rsidRDefault="00657C7E" w:rsidP="00092406">
            <w:pPr>
              <w:widowControl/>
              <w:spacing w:after="240" w:line="259" w:lineRule="auto"/>
              <w:rPr>
                <w:rFonts w:ascii="Century Gothic" w:hAnsi="Century Gothic" w:cs="Calibri"/>
                <w:sz w:val="24"/>
                <w:szCs w:val="24"/>
              </w:rPr>
            </w:pPr>
            <w:r w:rsidRPr="006A7021">
              <w:rPr>
                <w:rFonts w:ascii="Century Gothic" w:hAnsi="Century Gothic" w:cs="Calibri"/>
                <w:sz w:val="24"/>
                <w:szCs w:val="24"/>
              </w:rPr>
              <w:t>Siskiyou</w:t>
            </w:r>
          </w:p>
        </w:tc>
        <w:tc>
          <w:tcPr>
            <w:tcW w:w="2520" w:type="dxa"/>
            <w:vAlign w:val="center"/>
          </w:tcPr>
          <w:p w14:paraId="22EC35E0" w14:textId="2121DF4A" w:rsidR="00F348C7" w:rsidRPr="00E6113B" w:rsidRDefault="00657C7E" w:rsidP="00092406">
            <w:pPr>
              <w:widowControl/>
              <w:spacing w:after="240" w:line="259" w:lineRule="auto"/>
              <w:rPr>
                <w:rFonts w:ascii="Century Gothic" w:hAnsi="Century Gothic" w:cs="Calibri"/>
                <w:sz w:val="24"/>
                <w:szCs w:val="24"/>
              </w:rPr>
            </w:pPr>
            <w:r w:rsidRPr="00E6113B">
              <w:rPr>
                <w:rFonts w:ascii="Century Gothic" w:hAnsi="Century Gothic" w:cs="Calibri"/>
                <w:sz w:val="24"/>
                <w:szCs w:val="24"/>
              </w:rPr>
              <w:t>21,725</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35278F">
      <w:pPr>
        <w:pStyle w:val="BodyText"/>
        <w:sectPr w:rsidR="00B860AF" w:rsidRPr="00E6113B" w:rsidSect="004E4589">
          <w:footnotePr>
            <w:pos w:val="beneathText"/>
          </w:footnotePr>
          <w:type w:val="continuous"/>
          <w:pgSz w:w="12240" w:h="15840"/>
          <w:pgMar w:top="1440" w:right="720" w:bottom="1440" w:left="720" w:header="736" w:footer="1048" w:gutter="0"/>
          <w:cols w:space="720"/>
          <w:docGrid w:linePitch="299"/>
        </w:sectPr>
      </w:pPr>
      <w:bookmarkStart w:id="38" w:name="_Hlk24525703"/>
      <w:bookmarkEnd w:id="36"/>
      <w:bookmarkEnd w:id="37"/>
    </w:p>
    <w:p w14:paraId="27EF8091" w14:textId="2297C453" w:rsidR="00353F09" w:rsidRPr="00E6113B" w:rsidRDefault="00D10578" w:rsidP="00F3046E">
      <w:pPr>
        <w:pStyle w:val="Heading1"/>
      </w:pPr>
      <w:bookmarkStart w:id="39" w:name="_Toc169083980"/>
      <w:bookmarkStart w:id="40" w:name="_Hlk89095161"/>
      <w:r>
        <w:lastRenderedPageBreak/>
        <w:t>2023 Regulatory Accomplishments</w:t>
      </w:r>
      <w:bookmarkEnd w:id="39"/>
    </w:p>
    <w:p w14:paraId="5A3A2991" w14:textId="77777777" w:rsidR="00463373" w:rsidRPr="00D10578" w:rsidRDefault="00463373" w:rsidP="00D10578">
      <w:pPr>
        <w:pStyle w:val="Heading4"/>
        <w:sectPr w:rsidR="00463373" w:rsidRPr="00D10578" w:rsidSect="004E4589">
          <w:footnotePr>
            <w:pos w:val="beneathText"/>
          </w:footnotePr>
          <w:pgSz w:w="12240" w:h="15840"/>
          <w:pgMar w:top="1440" w:right="720" w:bottom="1440" w:left="720" w:header="736" w:footer="1048" w:gutter="0"/>
          <w:cols w:space="720"/>
          <w:docGrid w:linePitch="299"/>
        </w:sectPr>
      </w:pPr>
      <w:r w:rsidRPr="00D10578">
        <w:t>Northern Spotted Owl Take Avoidance Pathways and Habitat Definition Updates</w:t>
      </w:r>
    </w:p>
    <w:p w14:paraId="0CBD336C" w14:textId="77777777" w:rsidR="00463373" w:rsidRPr="00E6113B" w:rsidRDefault="00463373" w:rsidP="00D10578">
      <w:pPr>
        <w:pStyle w:val="Heading4"/>
      </w:pPr>
    </w:p>
    <w:p w14:paraId="1001E6DC" w14:textId="77777777" w:rsidR="00463373" w:rsidRPr="00E6113B" w:rsidRDefault="00463373" w:rsidP="00463373">
      <w:pPr>
        <w:widowControl/>
        <w:spacing w:after="160" w:line="259" w:lineRule="auto"/>
        <w:rPr>
          <w:rFonts w:ascii="Century Gothic" w:hAnsi="Century Gothic"/>
          <w:sz w:val="24"/>
          <w:szCs w:val="24"/>
        </w:rPr>
      </w:pPr>
      <w:r w:rsidRPr="00E6113B">
        <w:rPr>
          <w:rFonts w:ascii="Century Gothic" w:hAnsi="Century Gothic"/>
          <w:sz w:val="24"/>
          <w:szCs w:val="24"/>
        </w:rPr>
        <w:t>Several of the habitat definitions in 14 CCR § 895.1 related to Northern Spotted Owl were derived from the USFWS 1992 “Protocol For Surveying Proposed Management Activities That May Impact Northern Spotted Owls” and are not present in the 2012 “Protocol For Surveying Proposed Management Activities That May Impact Northern Spotted Owls”. In addition, some mechanisms for take avoidance as described in 14 CCR §§ 919.9 and 939.9 are no longer in effect. The definitions and take avoidance pathways are updated to reflect current regulatory requirements from the Department and listing agencies.</w:t>
      </w:r>
    </w:p>
    <w:p w14:paraId="473087A1"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Tractor Operations and Cable Yarding Amendments</w:t>
      </w:r>
    </w:p>
    <w:p w14:paraId="4ECF8125" w14:textId="49BE8C8B" w:rsidR="00353F09" w:rsidRPr="00E6113B" w:rsidRDefault="005A04F3" w:rsidP="00353F09">
      <w:pPr>
        <w:widowControl/>
        <w:spacing w:after="160" w:line="259" w:lineRule="auto"/>
        <w:rPr>
          <w:rFonts w:ascii="Century Gothic" w:hAnsi="Century Gothic"/>
          <w:sz w:val="24"/>
          <w:szCs w:val="24"/>
        </w:rPr>
      </w:pPr>
      <w:r w:rsidRPr="00E6113B">
        <w:rPr>
          <w:rFonts w:ascii="Century Gothic" w:hAnsi="Century Gothic"/>
          <w:sz w:val="24"/>
          <w:szCs w:val="24"/>
        </w:rPr>
        <w:t xml:space="preserve">Prior to amendment of this rule section, it was common in the Coast Forest District for RPFs to propose exceptions pursuant to this former rule section, particularly to allow for tractor yarding in areas of poor deflection and hard to reach corners in cable corridors. As a result of the amendments to this section and 14 CCR § 914.2(f)(5), the RPF may now again propose exceptions to  14 CCR § 914.2(f)(5), which allows Tractor Operations on slopes greater than 50% in Cable Yarding areas. </w:t>
      </w:r>
      <w:r w:rsidR="00353F09" w:rsidRPr="00E6113B">
        <w:rPr>
          <w:rFonts w:ascii="Century Gothic" w:hAnsi="Century Gothic"/>
          <w:sz w:val="24"/>
          <w:szCs w:val="24"/>
        </w:rPr>
        <w:t>Additionally, the rule section did not capture all possible treatments that were permitted to occur, e.g., special prescriptions and other types of associated timber harvesting, such as road right-of-way or timberland conversion.</w:t>
      </w:r>
    </w:p>
    <w:p w14:paraId="2634330E" w14:textId="77777777" w:rsidR="005A04F3" w:rsidRPr="00E6113B" w:rsidRDefault="005A04F3" w:rsidP="005A04F3">
      <w:pPr>
        <w:widowControl/>
        <w:spacing w:after="160" w:line="259" w:lineRule="auto"/>
        <w:jc w:val="center"/>
        <w:rPr>
          <w:rFonts w:ascii="Century Gothic" w:hAnsi="Century Gothic"/>
          <w:b/>
          <w:bCs/>
          <w:sz w:val="24"/>
          <w:szCs w:val="24"/>
        </w:rPr>
      </w:pPr>
      <w:r w:rsidRPr="00E6113B">
        <w:rPr>
          <w:rFonts w:ascii="Century Gothic" w:hAnsi="Century Gothic"/>
          <w:b/>
          <w:bCs/>
          <w:sz w:val="24"/>
          <w:szCs w:val="24"/>
        </w:rPr>
        <w:t>Ford Definition Amendment</w:t>
      </w:r>
    </w:p>
    <w:p w14:paraId="3EC15F89" w14:textId="57DA742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Although the term “ford” was defined as part of the Road Rules 2013 package, the definition is ambiguous which has led to confusion in the field. The updated definitions now define subsets of ford including areas where the road grade dips through the native watercourse channel and where it may include flowing water across a constructed dip in the road grade, which is designed to act as the watercourse channel. </w:t>
      </w:r>
    </w:p>
    <w:p w14:paraId="01102CF8" w14:textId="77777777" w:rsidR="005A04F3" w:rsidRPr="00E6113B" w:rsidRDefault="005A04F3" w:rsidP="007577E0">
      <w:pPr>
        <w:widowControl/>
        <w:spacing w:after="160" w:line="259" w:lineRule="auto"/>
        <w:ind w:left="2160" w:firstLine="720"/>
        <w:rPr>
          <w:rFonts w:ascii="Century Gothic" w:hAnsi="Century Gothic"/>
          <w:b/>
          <w:bCs/>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b/>
          <w:bCs/>
          <w:sz w:val="24"/>
          <w:szCs w:val="24"/>
        </w:rPr>
        <w:t>Maximum Sustained Production Amendments</w:t>
      </w:r>
      <w:r w:rsidRPr="00E6113B" w:rsidDel="005A04F3">
        <w:rPr>
          <w:rFonts w:ascii="Century Gothic" w:hAnsi="Century Gothic"/>
          <w:b/>
          <w:bCs/>
          <w:sz w:val="24"/>
          <w:szCs w:val="24"/>
        </w:rPr>
        <w:t xml:space="preserve"> </w:t>
      </w:r>
    </w:p>
    <w:p w14:paraId="5236C588" w14:textId="4E62C342" w:rsidR="005A04F3" w:rsidRPr="00E6113B" w:rsidRDefault="005A04F3" w:rsidP="005A04F3">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Reviewed performance of existing MSP rules since Board adoption. After considering implications for carbon forest health, including resiliency, and changing climatic conditions, the Board expanded the current intent to address the mitigation of fire risk and to allow for management for fire protection. </w:t>
      </w:r>
    </w:p>
    <w:p w14:paraId="54E5BDEC"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Coastal Commission Special Treatment Areas Silviculture Amendments</w:t>
      </w:r>
    </w:p>
    <w:p w14:paraId="7A128848" w14:textId="77777777" w:rsidR="005A04F3" w:rsidRPr="00E6113B" w:rsidRDefault="005A04F3" w:rsidP="007577E0">
      <w:pPr>
        <w:widowControl/>
        <w:spacing w:after="160" w:line="259" w:lineRule="auto"/>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Forest Practice Rules for Coastal Commission Special Treatment Areas had not been updated at the same rate as the Forest Practice Rules for the rest of the state, resulting in several circumstances that limited opportunities for forest landowners to manage </w:t>
      </w:r>
      <w:r w:rsidRPr="00E6113B">
        <w:rPr>
          <w:rFonts w:ascii="Century Gothic" w:hAnsi="Century Gothic"/>
          <w:sz w:val="24"/>
          <w:szCs w:val="24"/>
        </w:rPr>
        <w:lastRenderedPageBreak/>
        <w:t xml:space="preserve">timberlands and respond to changing climate conditions. This included: treatment of slash with no allowances for pile burning or broadcast burning, stocking requirements requiring point-count of 450 countable trees per acre on Site I and II lands and 300 countable trees per acre on Site III, IV, and V lands, and no allowances for fuel breaks or variable retention stands. </w:t>
      </w:r>
      <w:r w:rsidR="00971B1C" w:rsidRPr="00E6113B">
        <w:rPr>
          <w:rFonts w:ascii="Century Gothic" w:hAnsi="Century Gothic"/>
          <w:sz w:val="24"/>
          <w:szCs w:val="24"/>
        </w:rPr>
        <w:tab/>
      </w:r>
    </w:p>
    <w:p w14:paraId="6B3F42E2" w14:textId="77777777" w:rsidR="005A04F3" w:rsidRPr="00E6113B" w:rsidRDefault="005A04F3" w:rsidP="005A04F3">
      <w:pPr>
        <w:widowControl/>
        <w:spacing w:after="160" w:line="259" w:lineRule="auto"/>
        <w:jc w:val="center"/>
        <w:rPr>
          <w:rFonts w:ascii="Century Gothic" w:hAnsi="Century Gothic"/>
          <w:b/>
          <w:bCs/>
          <w:iCs/>
          <w:sz w:val="24"/>
          <w:szCs w:val="24"/>
        </w:rPr>
      </w:pPr>
      <w:r w:rsidRPr="00E6113B">
        <w:rPr>
          <w:rFonts w:ascii="Century Gothic" w:hAnsi="Century Gothic"/>
          <w:b/>
          <w:bCs/>
          <w:iCs/>
          <w:sz w:val="24"/>
          <w:szCs w:val="24"/>
        </w:rPr>
        <w:t xml:space="preserve">Issues with Municipalities Regulating Timber Harvest of Group A/B Species </w:t>
      </w:r>
    </w:p>
    <w:p w14:paraId="311EC750" w14:textId="50AF3472" w:rsidR="00453F7C" w:rsidRPr="00E6113B" w:rsidRDefault="005A04F3" w:rsidP="00D2608F">
      <w:pPr>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 xml:space="preserve">The Board is the governing body that is responsible for creating rules that guide the timber harvest process of commercial timber species on lands deemed timberland in this State. Board staff reviewed all circumstances raised by </w:t>
      </w:r>
      <w:r w:rsidR="00CB7D10">
        <w:rPr>
          <w:rFonts w:ascii="Century Gothic" w:hAnsi="Century Gothic"/>
          <w:sz w:val="24"/>
          <w:szCs w:val="24"/>
        </w:rPr>
        <w:t xml:space="preserve">a letter raising </w:t>
      </w:r>
      <w:r w:rsidR="00CB7D10" w:rsidRPr="00CB7D10">
        <w:rPr>
          <w:rFonts w:ascii="Century Gothic" w:hAnsi="Century Gothic"/>
          <w:sz w:val="24"/>
          <w:szCs w:val="24"/>
        </w:rPr>
        <w:t xml:space="preserve">concerns that counties and municipalities were requiring additional permits for the harvest of Group A trees in Timberland, creating a potential preemption issue. </w:t>
      </w:r>
      <w:r w:rsidR="00CB7D10">
        <w:rPr>
          <w:rFonts w:ascii="Century Gothic" w:hAnsi="Century Gothic"/>
          <w:sz w:val="24"/>
          <w:szCs w:val="24"/>
        </w:rPr>
        <w:t xml:space="preserve">Board staff </w:t>
      </w:r>
      <w:r w:rsidRPr="00E6113B">
        <w:rPr>
          <w:rFonts w:ascii="Century Gothic" w:hAnsi="Century Gothic"/>
          <w:sz w:val="24"/>
          <w:szCs w:val="24"/>
        </w:rPr>
        <w:t xml:space="preserve">contacted the municipality with a report of alternative processes that exist in addition to the permitting process and rules governed by the Board and CAL FIRE. The Board will continue to monitor and address if necessary. </w:t>
      </w:r>
      <w:bookmarkStart w:id="41" w:name="_Toc89188566"/>
      <w:bookmarkEnd w:id="38"/>
      <w:bookmarkEnd w:id="40"/>
    </w:p>
    <w:p w14:paraId="3885D430" w14:textId="77777777" w:rsidR="00453F7C" w:rsidRPr="00CB7D10" w:rsidRDefault="00453F7C" w:rsidP="00CB7D10">
      <w:pPr>
        <w:widowControl/>
        <w:spacing w:after="160" w:line="259" w:lineRule="auto"/>
        <w:jc w:val="center"/>
        <w:rPr>
          <w:rFonts w:ascii="Century Gothic" w:hAnsi="Century Gothic"/>
          <w:b/>
          <w:bCs/>
          <w:iCs/>
          <w:sz w:val="24"/>
          <w:szCs w:val="24"/>
        </w:rPr>
      </w:pPr>
      <w:r w:rsidRPr="00CB7D10">
        <w:rPr>
          <w:rFonts w:ascii="Century Gothic" w:hAnsi="Century Gothic"/>
          <w:b/>
          <w:bCs/>
          <w:iCs/>
          <w:sz w:val="24"/>
          <w:szCs w:val="24"/>
        </w:rPr>
        <w:t>Wet Areas, Meadows, and Restoration Activities</w:t>
      </w:r>
    </w:p>
    <w:p w14:paraId="3FB750C6" w14:textId="77777777" w:rsidR="00453F7C" w:rsidRPr="00E6113B" w:rsidRDefault="00453F7C" w:rsidP="007577E0">
      <w:pPr>
        <w:spacing w:before="480" w:after="240"/>
        <w:outlineLvl w:val="0"/>
        <w:rPr>
          <w:rFonts w:ascii="Century Gothic" w:hAnsi="Century Gothic"/>
          <w:sz w:val="24"/>
          <w:szCs w:val="24"/>
        </w:rPr>
        <w:sectPr w:rsidR="00453F7C" w:rsidRPr="00E6113B" w:rsidSect="004E4589">
          <w:footnotePr>
            <w:pos w:val="beneathText"/>
          </w:footnotePr>
          <w:type w:val="continuous"/>
          <w:pgSz w:w="12240" w:h="15840"/>
          <w:pgMar w:top="1440" w:right="720" w:bottom="1440" w:left="720" w:header="736" w:footer="1048" w:gutter="0"/>
          <w:cols w:space="720"/>
          <w:docGrid w:linePitch="299"/>
        </w:sectPr>
      </w:pPr>
    </w:p>
    <w:p w14:paraId="5D24756A" w14:textId="77777777" w:rsidR="00FA3BE3" w:rsidRDefault="00453F7C" w:rsidP="00CB7D10">
      <w:pPr>
        <w:rPr>
          <w:rFonts w:ascii="Century Gothic" w:hAnsi="Century Gothic"/>
          <w:sz w:val="24"/>
          <w:szCs w:val="24"/>
        </w:rPr>
      </w:pPr>
      <w:r w:rsidRPr="00E6113B">
        <w:rPr>
          <w:rFonts w:ascii="Century Gothic" w:hAnsi="Century Gothic"/>
          <w:sz w:val="24"/>
          <w:szCs w:val="24"/>
        </w:rPr>
        <w:t xml:space="preserve">The term “Meadows and Wet Areas” is used in the Rules to describe both areas that do not support trees and areas that require additional consideration of ecological impacts. “Wet Meadows and other Wet Areas” is used only for consideration of ecological impacts. Otherwise, the two terms have almost identical definitions. </w:t>
      </w:r>
    </w:p>
    <w:p w14:paraId="16C1096F" w14:textId="77777777" w:rsidR="00CB7D10" w:rsidRPr="00E6113B" w:rsidRDefault="00CB7D10" w:rsidP="00CB7D10">
      <w:pPr>
        <w:rPr>
          <w:rFonts w:ascii="Century Gothic" w:hAnsi="Century Gothic"/>
          <w:sz w:val="24"/>
          <w:szCs w:val="24"/>
        </w:rPr>
      </w:pPr>
    </w:p>
    <w:p w14:paraId="5CB07624" w14:textId="4B9CE5B0" w:rsidR="00453F7C" w:rsidRDefault="00453F7C" w:rsidP="00CB7D10">
      <w:pPr>
        <w:rPr>
          <w:rFonts w:ascii="Century Gothic" w:hAnsi="Century Gothic"/>
          <w:sz w:val="24"/>
          <w:szCs w:val="24"/>
        </w:rPr>
      </w:pPr>
      <w:r w:rsidRPr="00E6113B">
        <w:rPr>
          <w:rFonts w:ascii="Century Gothic" w:hAnsi="Century Gothic"/>
          <w:sz w:val="24"/>
          <w:szCs w:val="24"/>
        </w:rPr>
        <w:t>The definitions conflate two very different types of areas: meadows and wet areas. While there may be some overlap, they are two distinct and very different ecological systems and are not equivalent. The definitions also lack temporal consistency. What may be “moist on the surface” during most of a year with historically average precipitation may not be moist on the surface during a year with significantly less precipitation. This lack of consistency creates a problem for enforcement and an atmosphere of regulatory uncertainty.</w:t>
      </w:r>
    </w:p>
    <w:p w14:paraId="6A0DA077" w14:textId="77777777" w:rsidR="00CB7D10" w:rsidRPr="00E6113B" w:rsidRDefault="00CB7D10" w:rsidP="00CB7D10">
      <w:pPr>
        <w:rPr>
          <w:rFonts w:ascii="Century Gothic" w:hAnsi="Century Gothic"/>
          <w:sz w:val="24"/>
          <w:szCs w:val="24"/>
        </w:rPr>
      </w:pPr>
    </w:p>
    <w:p w14:paraId="12CFB7F1" w14:textId="570D5DA2" w:rsidR="005A04F3" w:rsidRPr="00E6113B" w:rsidRDefault="00453F7C" w:rsidP="00CB7D10">
      <w:pPr>
        <w:rPr>
          <w:rFonts w:ascii="Century Gothic" w:hAnsi="Century Gothic"/>
          <w:sz w:val="24"/>
          <w:szCs w:val="24"/>
        </w:rPr>
        <w:sectPr w:rsidR="005A04F3"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sz w:val="24"/>
          <w:szCs w:val="24"/>
        </w:rPr>
        <w:t>The definitions of “meadows” and “Wet Areas” have been separated since these are two distinct ecological systems. The definition of “Wet Areas” has been revised to address temporal consistency, include duration of such saturation, and specify that the area’s vegetation should be dominated by hydrophytes or lack vegetation</w:t>
      </w:r>
      <w:r w:rsidR="00657C7E" w:rsidRPr="00E6113B">
        <w:rPr>
          <w:rFonts w:ascii="Century Gothic" w:hAnsi="Century Gothic"/>
          <w:sz w:val="24"/>
          <w:szCs w:val="24"/>
        </w:rPr>
        <w:t>.</w:t>
      </w: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42" w:name="_Toc169083981"/>
      <w:r w:rsidRPr="00E6113B">
        <w:rPr>
          <w:rFonts w:ascii="Century Gothic" w:eastAsia="Arial" w:hAnsi="Century Gothic"/>
          <w:b/>
          <w:bCs/>
          <w:sz w:val="28"/>
          <w:szCs w:val="28"/>
        </w:rPr>
        <w:lastRenderedPageBreak/>
        <w:t>Local Government</w:t>
      </w:r>
      <w:bookmarkEnd w:id="41"/>
      <w:bookmarkEnd w:id="42"/>
    </w:p>
    <w:p w14:paraId="0D06C90A"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General Plan Safety Elements</w:t>
      </w:r>
    </w:p>
    <w:p w14:paraId="585B41B3" w14:textId="77777777" w:rsidR="00AF44AA" w:rsidRPr="00E6113B" w:rsidRDefault="00AF44AA" w:rsidP="00AF44AA">
      <w:pPr>
        <w:autoSpaceDE w:val="0"/>
        <w:autoSpaceDN w:val="0"/>
        <w:adjustRightInd w:val="0"/>
        <w:ind w:right="43"/>
        <w:rPr>
          <w:rFonts w:ascii="Century Gothic" w:hAnsi="Century Gothic" w:cs="Calibri"/>
          <w:sz w:val="24"/>
          <w:szCs w:val="24"/>
        </w:rPr>
      </w:pPr>
      <w:r w:rsidRPr="00E6113B">
        <w:rPr>
          <w:rFonts w:ascii="Century Gothic" w:hAnsi="Century Gothic" w:cs="Calibri"/>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p>
    <w:p w14:paraId="3FF44B4A" w14:textId="77777777" w:rsidR="00AF44AA" w:rsidRPr="00E6113B" w:rsidRDefault="00AF44AA" w:rsidP="00AF44AA">
      <w:pPr>
        <w:numPr>
          <w:ilvl w:val="0"/>
          <w:numId w:val="3"/>
        </w:numPr>
        <w:autoSpaceDE w:val="0"/>
        <w:autoSpaceDN w:val="0"/>
        <w:adjustRightInd w:val="0"/>
        <w:spacing w:before="240"/>
        <w:ind w:left="720" w:right="43"/>
        <w:contextualSpacing/>
        <w:rPr>
          <w:rFonts w:ascii="Century Gothic" w:hAnsi="Century Gothic" w:cs="Calibri"/>
          <w:sz w:val="24"/>
          <w:szCs w:val="24"/>
        </w:rPr>
      </w:pPr>
      <w:r w:rsidRPr="00E6113B">
        <w:rPr>
          <w:rFonts w:ascii="Century Gothic" w:hAnsi="Century Gothic" w:cs="Calibri"/>
          <w:sz w:val="24"/>
          <w:szCs w:val="24"/>
        </w:rPr>
        <w:t>Reviewing the safety element for the requirements in Government Code §65302, subdivision (g)(3)(A),</w:t>
      </w:r>
    </w:p>
    <w:p w14:paraId="19F938DE"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 xml:space="preserve">Examining the safety element for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that mitigate the wildfire risk in the planning area (Gov. Code, § 65302, subd. (g)(3)(B) &amp; (C)), and</w:t>
      </w:r>
    </w:p>
    <w:p w14:paraId="09074E1B" w14:textId="77777777" w:rsidR="00AF44AA" w:rsidRPr="00E6113B" w:rsidRDefault="00AF44AA" w:rsidP="00AF44AA">
      <w:pPr>
        <w:numPr>
          <w:ilvl w:val="0"/>
          <w:numId w:val="3"/>
        </w:numPr>
        <w:autoSpaceDE w:val="0"/>
        <w:autoSpaceDN w:val="0"/>
        <w:adjustRightInd w:val="0"/>
        <w:ind w:left="720" w:right="43"/>
        <w:contextualSpacing/>
        <w:rPr>
          <w:rFonts w:ascii="Century Gothic" w:hAnsi="Century Gothic" w:cs="Calibri"/>
          <w:sz w:val="24"/>
          <w:szCs w:val="24"/>
        </w:rPr>
      </w:pPr>
      <w:r w:rsidRPr="00E6113B">
        <w:rPr>
          <w:rFonts w:ascii="Century Gothic" w:hAnsi="Century Gothic" w:cs="Calibri"/>
          <w:sz w:val="24"/>
          <w:szCs w:val="24"/>
        </w:rPr>
        <w:t>Making recommendations for methods and strategies that would reduce the risk of wildfires (Gov. Code, § 65302.5, subd. (b)(3)(B)).</w:t>
      </w:r>
    </w:p>
    <w:p w14:paraId="784C10C9" w14:textId="55655B7F" w:rsidR="00AF44AA" w:rsidRPr="00E6113B" w:rsidRDefault="00AF44AA" w:rsidP="00AF44AA">
      <w:pPr>
        <w:autoSpaceDE w:val="0"/>
        <w:autoSpaceDN w:val="0"/>
        <w:adjustRightInd w:val="0"/>
        <w:spacing w:before="240" w:after="240"/>
        <w:ind w:right="43"/>
        <w:rPr>
          <w:rFonts w:ascii="Century Gothic" w:hAnsi="Century Gothic" w:cs="Calibri"/>
          <w:sz w:val="24"/>
          <w:szCs w:val="24"/>
        </w:rPr>
      </w:pPr>
      <w:r w:rsidRPr="00E6113B">
        <w:rPr>
          <w:rFonts w:ascii="Century Gothic" w:hAnsi="Century Gothic" w:cs="Calibri"/>
          <w:sz w:val="24"/>
          <w:szCs w:val="24"/>
        </w:rPr>
        <w:t xml:space="preserve">Once completed, the Safety Element Assessment should provide clear guidance to a city or county regarding any areas of deficiency in the safety element as well as specific goals, policies, </w:t>
      </w:r>
      <w:r w:rsidRPr="00E6113B">
        <w:rPr>
          <w:rFonts w:ascii="Century Gothic" w:hAnsi="Century Gothic" w:cs="Calibri"/>
          <w:bCs/>
          <w:sz w:val="24"/>
          <w:szCs w:val="24"/>
        </w:rPr>
        <w:t>objective</w:t>
      </w:r>
      <w:r w:rsidRPr="00E6113B">
        <w:rPr>
          <w:rFonts w:ascii="Century Gothic" w:hAnsi="Century Gothic" w:cs="Calibri"/>
          <w:sz w:val="24"/>
          <w:szCs w:val="24"/>
        </w:rPr>
        <w:t>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request a consultation which must occur before the local jurisdiction proceeds with</w:t>
      </w:r>
      <w:r w:rsidR="00E6113B" w:rsidRPr="00E6113B">
        <w:rPr>
          <w:rFonts w:ascii="Century Gothic" w:hAnsi="Century Gothic" w:cs="Calibri"/>
          <w:sz w:val="24"/>
          <w:szCs w:val="24"/>
        </w:rPr>
        <w:t xml:space="preserve"> </w:t>
      </w:r>
      <w:r w:rsidRPr="00E6113B">
        <w:rPr>
          <w:rFonts w:ascii="Century Gothic" w:hAnsi="Century Gothic" w:cs="Calibri"/>
          <w:sz w:val="24"/>
          <w:szCs w:val="24"/>
        </w:rPr>
        <w:t>adopting its draft safety element.</w:t>
      </w:r>
      <w:r w:rsidR="00E6113B" w:rsidRPr="00E6113B">
        <w:rPr>
          <w:rFonts w:ascii="Century Gothic" w:hAnsi="Century Gothic" w:cs="Calibri"/>
          <w:sz w:val="24"/>
          <w:szCs w:val="24"/>
        </w:rPr>
        <w:t xml:space="preserve"> The Board has reviewed 149 safety elements since the requirement took effect in 2013, 28 of which occurred in 2023.</w:t>
      </w:r>
    </w:p>
    <w:p w14:paraId="2F772166" w14:textId="77777777" w:rsidR="00744900" w:rsidRDefault="00744900">
      <w:pPr>
        <w:widowControl/>
        <w:rPr>
          <w:rFonts w:ascii="Century Gothic" w:eastAsia="Arial" w:hAnsi="Century Gothic"/>
          <w:b/>
          <w:iCs/>
          <w:sz w:val="24"/>
          <w:szCs w:val="24"/>
        </w:rPr>
      </w:pPr>
      <w:r>
        <w:rPr>
          <w:rFonts w:ascii="Century Gothic" w:eastAsia="Arial" w:hAnsi="Century Gothic"/>
          <w:b/>
          <w:iCs/>
          <w:sz w:val="24"/>
          <w:szCs w:val="24"/>
        </w:rPr>
        <w:br w:type="page"/>
      </w:r>
    </w:p>
    <w:p w14:paraId="192CEAF4" w14:textId="3F25FD67" w:rsidR="00AF44AA" w:rsidRPr="00E6113B" w:rsidRDefault="00AF44AA" w:rsidP="00744900">
      <w:pPr>
        <w:outlineLvl w:val="3"/>
        <w:rPr>
          <w:rFonts w:ascii="Century Gothic" w:eastAsia="Arial" w:hAnsi="Century Gothic"/>
          <w:b/>
          <w:iCs/>
          <w:sz w:val="24"/>
          <w:szCs w:val="24"/>
        </w:rPr>
      </w:pPr>
      <w:r w:rsidRPr="00E6113B">
        <w:rPr>
          <w:rFonts w:ascii="Century Gothic" w:eastAsia="Arial" w:hAnsi="Century Gothic"/>
          <w:b/>
          <w:iCs/>
          <w:sz w:val="24"/>
          <w:szCs w:val="24"/>
        </w:rPr>
        <w:lastRenderedPageBreak/>
        <w:t>Figure 1</w:t>
      </w:r>
      <w:r w:rsidR="00744900">
        <w:rPr>
          <w:rFonts w:ascii="Century Gothic" w:eastAsia="Arial" w:hAnsi="Century Gothic"/>
          <w:b/>
          <w:iCs/>
          <w:sz w:val="24"/>
          <w:szCs w:val="24"/>
        </w:rPr>
        <w:t>3</w:t>
      </w:r>
      <w:r w:rsidRPr="00E6113B">
        <w:rPr>
          <w:rFonts w:ascii="Century Gothic" w:eastAsia="Arial" w:hAnsi="Century Gothic"/>
          <w:b/>
          <w:iCs/>
          <w:sz w:val="24"/>
          <w:szCs w:val="24"/>
        </w:rPr>
        <w:t xml:space="preserve">. General Plan Safety Elements Reviewed by the Board </w:t>
      </w:r>
      <w:r w:rsidR="00E6113B" w:rsidRPr="00E6113B">
        <w:rPr>
          <w:rFonts w:ascii="Century Gothic" w:eastAsia="Arial" w:hAnsi="Century Gothic"/>
          <w:b/>
          <w:iCs/>
          <w:sz w:val="24"/>
          <w:szCs w:val="24"/>
        </w:rPr>
        <w:t>January – December 2023</w:t>
      </w:r>
      <w:r w:rsidRPr="00E6113B">
        <w:rPr>
          <w:rFonts w:ascii="Century Gothic" w:eastAsia="Arial" w:hAnsi="Century Gothic"/>
          <w:b/>
          <w:iCs/>
          <w:sz w:val="24"/>
          <w:szCs w:val="24"/>
        </w:rPr>
        <w:t xml:space="preserve"> </w:t>
      </w:r>
    </w:p>
    <w:tbl>
      <w:tblPr>
        <w:tblStyle w:val="GridTable2"/>
        <w:tblW w:w="9331" w:type="dxa"/>
        <w:tblLook w:val="04A0" w:firstRow="1" w:lastRow="0" w:firstColumn="1" w:lastColumn="0" w:noHBand="0" w:noVBand="1"/>
      </w:tblPr>
      <w:tblGrid>
        <w:gridCol w:w="1023"/>
        <w:gridCol w:w="867"/>
        <w:gridCol w:w="2520"/>
        <w:gridCol w:w="1350"/>
        <w:gridCol w:w="1742"/>
        <w:gridCol w:w="1829"/>
      </w:tblGrid>
      <w:tr w:rsidR="00E6113B" w:rsidRPr="00E6113B" w14:paraId="4A0D05A6" w14:textId="77777777" w:rsidTr="00344F8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bottom w:val="double" w:sz="4" w:space="0" w:color="auto"/>
            </w:tcBorders>
            <w:noWrap/>
            <w:hideMark/>
          </w:tcPr>
          <w:p w14:paraId="213A8CC2"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867" w:type="dxa"/>
            <w:tcBorders>
              <w:bottom w:val="double" w:sz="4" w:space="0" w:color="auto"/>
            </w:tcBorders>
            <w:noWrap/>
            <w:hideMark/>
          </w:tcPr>
          <w:p w14:paraId="5E36B6C8"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Type</w:t>
            </w:r>
          </w:p>
        </w:tc>
        <w:tc>
          <w:tcPr>
            <w:tcW w:w="2520" w:type="dxa"/>
            <w:tcBorders>
              <w:bottom w:val="double" w:sz="4" w:space="0" w:color="auto"/>
            </w:tcBorders>
            <w:noWrap/>
            <w:hideMark/>
          </w:tcPr>
          <w:p w14:paraId="740EFB5B"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350" w:type="dxa"/>
            <w:tcBorders>
              <w:bottom w:val="double" w:sz="4" w:space="0" w:color="auto"/>
            </w:tcBorders>
            <w:noWrap/>
            <w:hideMark/>
          </w:tcPr>
          <w:p w14:paraId="7DCDD70E"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Received</w:t>
            </w:r>
          </w:p>
        </w:tc>
        <w:tc>
          <w:tcPr>
            <w:tcW w:w="1742" w:type="dxa"/>
            <w:tcBorders>
              <w:bottom w:val="double" w:sz="4" w:space="0" w:color="auto"/>
            </w:tcBorders>
            <w:noWrap/>
            <w:hideMark/>
          </w:tcPr>
          <w:p w14:paraId="5CC01DCF"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Reviewer</w:t>
            </w:r>
          </w:p>
        </w:tc>
        <w:tc>
          <w:tcPr>
            <w:tcW w:w="1829" w:type="dxa"/>
            <w:tcBorders>
              <w:bottom w:val="double" w:sz="4" w:space="0" w:color="auto"/>
            </w:tcBorders>
            <w:noWrap/>
            <w:hideMark/>
          </w:tcPr>
          <w:p w14:paraId="5144736D"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A7B13FC"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tcBorders>
            <w:noWrap/>
            <w:vAlign w:val="bottom"/>
          </w:tcPr>
          <w:p w14:paraId="709E7E1B" w14:textId="77777777" w:rsidR="00E6113B" w:rsidRPr="00E6113B" w:rsidRDefault="00E6113B" w:rsidP="00344F84">
            <w:pPr>
              <w:widowControl/>
              <w:rPr>
                <w:rFonts w:ascii="Century Gothic" w:hAnsi="Century Gothic"/>
                <w:sz w:val="24"/>
                <w:szCs w:val="24"/>
              </w:rPr>
            </w:pPr>
            <w:r w:rsidRPr="00E6113B">
              <w:rPr>
                <w:rFonts w:cs="Calibri"/>
                <w:b w:val="0"/>
                <w:bCs w:val="0"/>
                <w:color w:val="000000"/>
              </w:rPr>
              <w:t>CSR</w:t>
            </w:r>
          </w:p>
        </w:tc>
        <w:tc>
          <w:tcPr>
            <w:tcW w:w="867" w:type="dxa"/>
            <w:tcBorders>
              <w:top w:val="double" w:sz="4" w:space="0" w:color="auto"/>
            </w:tcBorders>
            <w:noWrap/>
            <w:vAlign w:val="bottom"/>
          </w:tcPr>
          <w:p w14:paraId="0B58B2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City</w:t>
            </w:r>
          </w:p>
        </w:tc>
        <w:tc>
          <w:tcPr>
            <w:tcW w:w="2520" w:type="dxa"/>
            <w:tcBorders>
              <w:top w:val="double" w:sz="4" w:space="0" w:color="auto"/>
            </w:tcBorders>
            <w:noWrap/>
            <w:vAlign w:val="bottom"/>
          </w:tcPr>
          <w:p w14:paraId="64C924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San Luis Obispo</w:t>
            </w:r>
          </w:p>
        </w:tc>
        <w:tc>
          <w:tcPr>
            <w:tcW w:w="1350" w:type="dxa"/>
            <w:tcBorders>
              <w:top w:val="double" w:sz="4" w:space="0" w:color="auto"/>
            </w:tcBorders>
            <w:noWrap/>
            <w:vAlign w:val="bottom"/>
          </w:tcPr>
          <w:p w14:paraId="139B580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12/21/2022</w:t>
            </w:r>
          </w:p>
        </w:tc>
        <w:tc>
          <w:tcPr>
            <w:tcW w:w="1742" w:type="dxa"/>
            <w:tcBorders>
              <w:top w:val="double" w:sz="4" w:space="0" w:color="auto"/>
            </w:tcBorders>
            <w:noWrap/>
            <w:vAlign w:val="bottom"/>
          </w:tcPr>
          <w:p w14:paraId="498D68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E6113B">
              <w:rPr>
                <w:rFonts w:cs="Calibri"/>
                <w:color w:val="000000"/>
              </w:rPr>
              <w:t>J KENNEDY</w:t>
            </w:r>
          </w:p>
        </w:tc>
        <w:tc>
          <w:tcPr>
            <w:tcW w:w="1829" w:type="dxa"/>
            <w:tcBorders>
              <w:top w:val="double" w:sz="4" w:space="0" w:color="auto"/>
            </w:tcBorders>
            <w:noWrap/>
            <w:vAlign w:val="bottom"/>
          </w:tcPr>
          <w:p w14:paraId="50F6788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02AEDFE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bottom"/>
          </w:tcPr>
          <w:p w14:paraId="7EBA79D1"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bottom"/>
          </w:tcPr>
          <w:p w14:paraId="52E04D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bottom"/>
          </w:tcPr>
          <w:p w14:paraId="0218431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Napa County</w:t>
            </w:r>
          </w:p>
        </w:tc>
        <w:tc>
          <w:tcPr>
            <w:tcW w:w="1350" w:type="dxa"/>
            <w:noWrap/>
            <w:vAlign w:val="bottom"/>
          </w:tcPr>
          <w:p w14:paraId="77D2DCD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12/30/2022</w:t>
            </w:r>
          </w:p>
        </w:tc>
        <w:tc>
          <w:tcPr>
            <w:tcW w:w="1742" w:type="dxa"/>
            <w:noWrap/>
            <w:vAlign w:val="bottom"/>
          </w:tcPr>
          <w:p w14:paraId="6F6E03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SHANE VARGAS</w:t>
            </w:r>
          </w:p>
        </w:tc>
        <w:tc>
          <w:tcPr>
            <w:tcW w:w="1829" w:type="dxa"/>
            <w:noWrap/>
            <w:vAlign w:val="bottom"/>
          </w:tcPr>
          <w:p w14:paraId="6A84C60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r w:rsidR="00E6113B" w:rsidRPr="00E6113B" w14:paraId="7E742C68" w14:textId="77777777" w:rsidTr="00344F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9CF7795"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72B557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City </w:t>
            </w:r>
          </w:p>
        </w:tc>
        <w:tc>
          <w:tcPr>
            <w:tcW w:w="2520" w:type="dxa"/>
            <w:noWrap/>
            <w:vAlign w:val="center"/>
          </w:tcPr>
          <w:p w14:paraId="547B7C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LAKE ELSINORE</w:t>
            </w:r>
          </w:p>
        </w:tc>
        <w:tc>
          <w:tcPr>
            <w:tcW w:w="1350" w:type="dxa"/>
            <w:noWrap/>
            <w:vAlign w:val="center"/>
          </w:tcPr>
          <w:p w14:paraId="205FA06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1/23/2023</w:t>
            </w:r>
          </w:p>
        </w:tc>
        <w:tc>
          <w:tcPr>
            <w:tcW w:w="1742" w:type="dxa"/>
            <w:noWrap/>
            <w:vAlign w:val="center"/>
          </w:tcPr>
          <w:p w14:paraId="0F988ED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AACB3A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0478DF11" w14:textId="77777777" w:rsidTr="00344F84">
        <w:trPr>
          <w:trHeight w:val="30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9D89AD3"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15B8730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6021E6B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SANTA BARBARA COUNTY</w:t>
            </w:r>
          </w:p>
        </w:tc>
        <w:tc>
          <w:tcPr>
            <w:tcW w:w="1350" w:type="dxa"/>
            <w:noWrap/>
            <w:vAlign w:val="center"/>
          </w:tcPr>
          <w:p w14:paraId="0F9C575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2/3/2023</w:t>
            </w:r>
          </w:p>
        </w:tc>
        <w:tc>
          <w:tcPr>
            <w:tcW w:w="1742" w:type="dxa"/>
            <w:noWrap/>
            <w:vAlign w:val="center"/>
          </w:tcPr>
          <w:p w14:paraId="7BCF77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611BD9A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3/7/2023</w:t>
            </w:r>
          </w:p>
        </w:tc>
      </w:tr>
      <w:tr w:rsidR="00E6113B" w:rsidRPr="00E6113B" w14:paraId="30AFF526" w14:textId="77777777" w:rsidTr="0074490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single" w:sz="2" w:space="0" w:color="666666"/>
            </w:tcBorders>
            <w:noWrap/>
            <w:vAlign w:val="center"/>
          </w:tcPr>
          <w:p w14:paraId="2C124008"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tcBorders>
              <w:bottom w:val="single" w:sz="2" w:space="0" w:color="666666"/>
            </w:tcBorders>
            <w:noWrap/>
          </w:tcPr>
          <w:p w14:paraId="532F36D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tcBorders>
              <w:bottom w:val="single" w:sz="2" w:space="0" w:color="666666"/>
            </w:tcBorders>
            <w:noWrap/>
            <w:vAlign w:val="center"/>
          </w:tcPr>
          <w:p w14:paraId="5558B2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CALABASAS</w:t>
            </w:r>
          </w:p>
        </w:tc>
        <w:tc>
          <w:tcPr>
            <w:tcW w:w="1350" w:type="dxa"/>
            <w:tcBorders>
              <w:bottom w:val="single" w:sz="2" w:space="0" w:color="666666"/>
            </w:tcBorders>
            <w:noWrap/>
            <w:vAlign w:val="center"/>
          </w:tcPr>
          <w:p w14:paraId="46D109C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2/23/2023</w:t>
            </w:r>
          </w:p>
        </w:tc>
        <w:tc>
          <w:tcPr>
            <w:tcW w:w="1742" w:type="dxa"/>
            <w:tcBorders>
              <w:bottom w:val="single" w:sz="2" w:space="0" w:color="666666"/>
            </w:tcBorders>
            <w:noWrap/>
            <w:vAlign w:val="center"/>
          </w:tcPr>
          <w:p w14:paraId="5C70781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tcBorders>
              <w:bottom w:val="single" w:sz="2" w:space="0" w:color="666666"/>
            </w:tcBorders>
            <w:noWrap/>
            <w:vAlign w:val="center"/>
          </w:tcPr>
          <w:p w14:paraId="61BD27E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4/4/2023</w:t>
            </w:r>
          </w:p>
        </w:tc>
      </w:tr>
      <w:tr w:rsidR="00E6113B" w:rsidRPr="00E6113B" w14:paraId="70C74E7D" w14:textId="77777777" w:rsidTr="00744900">
        <w:trPr>
          <w:trHeight w:val="290"/>
        </w:trPr>
        <w:tc>
          <w:tcPr>
            <w:cnfStyle w:val="001000000000" w:firstRow="0" w:lastRow="0" w:firstColumn="1" w:lastColumn="0" w:oddVBand="0" w:evenVBand="0" w:oddHBand="0" w:evenHBand="0" w:firstRowFirstColumn="0" w:firstRowLastColumn="0" w:lastRowFirstColumn="0" w:lastRowLastColumn="0"/>
            <w:tcW w:w="1023" w:type="dxa"/>
            <w:tcBorders>
              <w:bottom w:val="single" w:sz="4" w:space="0" w:color="auto"/>
            </w:tcBorders>
            <w:noWrap/>
            <w:vAlign w:val="center"/>
            <w:hideMark/>
          </w:tcPr>
          <w:p w14:paraId="695C89C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tcBorders>
              <w:bottom w:val="single" w:sz="4" w:space="0" w:color="auto"/>
            </w:tcBorders>
            <w:noWrap/>
            <w:hideMark/>
          </w:tcPr>
          <w:p w14:paraId="1E1F2C8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bottom w:val="single" w:sz="4" w:space="0" w:color="auto"/>
            </w:tcBorders>
            <w:noWrap/>
            <w:vAlign w:val="center"/>
            <w:hideMark/>
          </w:tcPr>
          <w:p w14:paraId="2CFC139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IONE</w:t>
            </w:r>
          </w:p>
        </w:tc>
        <w:tc>
          <w:tcPr>
            <w:tcW w:w="1350" w:type="dxa"/>
            <w:tcBorders>
              <w:bottom w:val="single" w:sz="4" w:space="0" w:color="auto"/>
            </w:tcBorders>
            <w:noWrap/>
            <w:vAlign w:val="center"/>
            <w:hideMark/>
          </w:tcPr>
          <w:p w14:paraId="5D87FB1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3/17/2023</w:t>
            </w:r>
          </w:p>
        </w:tc>
        <w:tc>
          <w:tcPr>
            <w:tcW w:w="1742" w:type="dxa"/>
            <w:tcBorders>
              <w:bottom w:val="single" w:sz="4" w:space="0" w:color="auto"/>
            </w:tcBorders>
            <w:noWrap/>
            <w:vAlign w:val="center"/>
            <w:hideMark/>
          </w:tcPr>
          <w:p w14:paraId="44B98C6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SHANE VARGAS</w:t>
            </w:r>
          </w:p>
        </w:tc>
        <w:tc>
          <w:tcPr>
            <w:tcW w:w="1829" w:type="dxa"/>
            <w:tcBorders>
              <w:bottom w:val="single" w:sz="4" w:space="0" w:color="auto"/>
            </w:tcBorders>
            <w:noWrap/>
            <w:vAlign w:val="center"/>
            <w:hideMark/>
          </w:tcPr>
          <w:p w14:paraId="1D4B675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42EF53C1" w14:textId="77777777" w:rsidTr="0074490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auto"/>
              <w:bottom w:val="nil"/>
            </w:tcBorders>
            <w:noWrap/>
            <w:vAlign w:val="center"/>
          </w:tcPr>
          <w:p w14:paraId="50656D0C"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tcBorders>
              <w:top w:val="single" w:sz="4" w:space="0" w:color="auto"/>
              <w:bottom w:val="nil"/>
            </w:tcBorders>
            <w:noWrap/>
            <w:vAlign w:val="center"/>
          </w:tcPr>
          <w:p w14:paraId="5E15342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City</w:t>
            </w:r>
          </w:p>
        </w:tc>
        <w:tc>
          <w:tcPr>
            <w:tcW w:w="2520" w:type="dxa"/>
            <w:tcBorders>
              <w:top w:val="single" w:sz="4" w:space="0" w:color="auto"/>
              <w:bottom w:val="nil"/>
            </w:tcBorders>
            <w:noWrap/>
            <w:vAlign w:val="center"/>
          </w:tcPr>
          <w:p w14:paraId="6E7FCC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Encinitas</w:t>
            </w:r>
          </w:p>
        </w:tc>
        <w:tc>
          <w:tcPr>
            <w:tcW w:w="1350" w:type="dxa"/>
            <w:tcBorders>
              <w:top w:val="single" w:sz="4" w:space="0" w:color="auto"/>
              <w:bottom w:val="nil"/>
            </w:tcBorders>
            <w:noWrap/>
            <w:vAlign w:val="center"/>
          </w:tcPr>
          <w:p w14:paraId="37CA04F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12/15/22</w:t>
            </w:r>
          </w:p>
        </w:tc>
        <w:tc>
          <w:tcPr>
            <w:tcW w:w="1742" w:type="dxa"/>
            <w:tcBorders>
              <w:top w:val="single" w:sz="4" w:space="0" w:color="auto"/>
              <w:bottom w:val="nil"/>
            </w:tcBorders>
            <w:noWrap/>
            <w:vAlign w:val="center"/>
          </w:tcPr>
          <w:p w14:paraId="5C2E41F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tcBorders>
              <w:top w:val="single" w:sz="4" w:space="0" w:color="auto"/>
              <w:bottom w:val="nil"/>
            </w:tcBorders>
            <w:noWrap/>
            <w:vAlign w:val="center"/>
          </w:tcPr>
          <w:p w14:paraId="75A480D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4/4/23</w:t>
            </w:r>
          </w:p>
        </w:tc>
      </w:tr>
      <w:tr w:rsidR="00E6113B" w:rsidRPr="00E6113B" w14:paraId="1EE2EE3D" w14:textId="77777777" w:rsidTr="00744900">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bottom w:val="nil"/>
            </w:tcBorders>
            <w:noWrap/>
            <w:vAlign w:val="center"/>
            <w:hideMark/>
          </w:tcPr>
          <w:p w14:paraId="726CEE00"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tcBorders>
              <w:top w:val="nil"/>
              <w:bottom w:val="nil"/>
            </w:tcBorders>
            <w:noWrap/>
            <w:vAlign w:val="center"/>
            <w:hideMark/>
          </w:tcPr>
          <w:p w14:paraId="57F35C8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tcBorders>
              <w:top w:val="nil"/>
              <w:bottom w:val="nil"/>
            </w:tcBorders>
            <w:noWrap/>
            <w:vAlign w:val="center"/>
            <w:hideMark/>
          </w:tcPr>
          <w:p w14:paraId="2E3086E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E6113B">
              <w:rPr>
                <w:rFonts w:cs="Calibri"/>
                <w:color w:val="000000"/>
              </w:rPr>
              <w:t>MOORPARK</w:t>
            </w:r>
          </w:p>
        </w:tc>
        <w:tc>
          <w:tcPr>
            <w:tcW w:w="1350" w:type="dxa"/>
            <w:tcBorders>
              <w:top w:val="nil"/>
              <w:bottom w:val="nil"/>
            </w:tcBorders>
            <w:noWrap/>
            <w:vAlign w:val="center"/>
            <w:hideMark/>
          </w:tcPr>
          <w:p w14:paraId="16B4DF3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1/13/2023</w:t>
            </w:r>
          </w:p>
        </w:tc>
        <w:tc>
          <w:tcPr>
            <w:tcW w:w="1742" w:type="dxa"/>
            <w:tcBorders>
              <w:top w:val="nil"/>
              <w:bottom w:val="nil"/>
            </w:tcBorders>
            <w:noWrap/>
            <w:vAlign w:val="center"/>
            <w:hideMark/>
          </w:tcPr>
          <w:p w14:paraId="33E3B51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J KENNEDY</w:t>
            </w:r>
          </w:p>
        </w:tc>
        <w:tc>
          <w:tcPr>
            <w:tcW w:w="1829" w:type="dxa"/>
            <w:tcBorders>
              <w:top w:val="nil"/>
              <w:bottom w:val="nil"/>
            </w:tcBorders>
            <w:noWrap/>
            <w:vAlign w:val="center"/>
            <w:hideMark/>
          </w:tcPr>
          <w:p w14:paraId="41A62B9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r>
      <w:tr w:rsidR="00E6113B" w:rsidRPr="00E6113B" w14:paraId="37827DBA"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02DA5E5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E623B0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80167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SHASTA COUNTY</w:t>
            </w:r>
          </w:p>
        </w:tc>
        <w:tc>
          <w:tcPr>
            <w:tcW w:w="1350" w:type="dxa"/>
            <w:noWrap/>
            <w:vAlign w:val="center"/>
          </w:tcPr>
          <w:p w14:paraId="71EB0C0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4/20/2023</w:t>
            </w:r>
          </w:p>
        </w:tc>
        <w:tc>
          <w:tcPr>
            <w:tcW w:w="1742" w:type="dxa"/>
            <w:noWrap/>
            <w:vAlign w:val="center"/>
          </w:tcPr>
          <w:p w14:paraId="6138595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9C8CD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145AC5F4"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1E2ACE" w14:textId="77777777" w:rsidR="00E6113B" w:rsidRPr="00E6113B" w:rsidRDefault="00E6113B" w:rsidP="00344F84">
            <w:pPr>
              <w:widowControl/>
              <w:rPr>
                <w:rFonts w:eastAsia="Times New Roman" w:cs="Calibri"/>
                <w:color w:val="000000"/>
              </w:rPr>
            </w:pPr>
            <w:r w:rsidRPr="00E6113B">
              <w:rPr>
                <w:rFonts w:cs="Calibri"/>
                <w:b w:val="0"/>
                <w:bCs w:val="0"/>
                <w:color w:val="000000"/>
              </w:rPr>
              <w:t>CSR</w:t>
            </w:r>
          </w:p>
        </w:tc>
        <w:tc>
          <w:tcPr>
            <w:tcW w:w="867" w:type="dxa"/>
            <w:noWrap/>
            <w:vAlign w:val="center"/>
          </w:tcPr>
          <w:p w14:paraId="345CD95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690A6A1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FRESNO COUNTY</w:t>
            </w:r>
          </w:p>
        </w:tc>
        <w:tc>
          <w:tcPr>
            <w:tcW w:w="1350" w:type="dxa"/>
            <w:noWrap/>
            <w:vAlign w:val="center"/>
          </w:tcPr>
          <w:p w14:paraId="4F94065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4/4/2023</w:t>
            </w:r>
          </w:p>
        </w:tc>
        <w:tc>
          <w:tcPr>
            <w:tcW w:w="1742" w:type="dxa"/>
            <w:noWrap/>
          </w:tcPr>
          <w:p w14:paraId="7CC4DEB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KYLE O’NEIL </w:t>
            </w:r>
          </w:p>
        </w:tc>
        <w:tc>
          <w:tcPr>
            <w:tcW w:w="1829" w:type="dxa"/>
            <w:noWrap/>
            <w:vAlign w:val="center"/>
          </w:tcPr>
          <w:p w14:paraId="27A231B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24E82121"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68CE25"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44B95D9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6488FA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COLFAX</w:t>
            </w:r>
          </w:p>
        </w:tc>
        <w:tc>
          <w:tcPr>
            <w:tcW w:w="1350" w:type="dxa"/>
            <w:noWrap/>
            <w:vAlign w:val="center"/>
          </w:tcPr>
          <w:p w14:paraId="78BC92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5/2/2023</w:t>
            </w:r>
          </w:p>
        </w:tc>
        <w:tc>
          <w:tcPr>
            <w:tcW w:w="1742" w:type="dxa"/>
            <w:noWrap/>
            <w:vAlign w:val="center"/>
          </w:tcPr>
          <w:p w14:paraId="75418AC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6E754B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4FDC4B6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4BA5C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vAlign w:val="center"/>
          </w:tcPr>
          <w:p w14:paraId="0922FB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E0C2AA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CLAREMONT</w:t>
            </w:r>
          </w:p>
        </w:tc>
        <w:tc>
          <w:tcPr>
            <w:tcW w:w="1350" w:type="dxa"/>
            <w:noWrap/>
            <w:vAlign w:val="center"/>
          </w:tcPr>
          <w:p w14:paraId="53CCE89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4/5/2023</w:t>
            </w:r>
          </w:p>
        </w:tc>
        <w:tc>
          <w:tcPr>
            <w:tcW w:w="1742" w:type="dxa"/>
            <w:noWrap/>
            <w:vAlign w:val="center"/>
          </w:tcPr>
          <w:p w14:paraId="7703AAD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KEVIN MERKH</w:t>
            </w:r>
          </w:p>
        </w:tc>
        <w:tc>
          <w:tcPr>
            <w:tcW w:w="1829" w:type="dxa"/>
            <w:noWrap/>
            <w:vAlign w:val="center"/>
          </w:tcPr>
          <w:p w14:paraId="62BEE17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5/9/2023</w:t>
            </w:r>
          </w:p>
        </w:tc>
      </w:tr>
      <w:tr w:rsidR="00E6113B" w:rsidRPr="00E6113B" w14:paraId="00B1D628"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1457899"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713058A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6C6CF8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LAFAYETTE</w:t>
            </w:r>
          </w:p>
        </w:tc>
        <w:tc>
          <w:tcPr>
            <w:tcW w:w="1350" w:type="dxa"/>
            <w:noWrap/>
            <w:vAlign w:val="center"/>
          </w:tcPr>
          <w:p w14:paraId="7414FA8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5/16/2023</w:t>
            </w:r>
          </w:p>
        </w:tc>
        <w:tc>
          <w:tcPr>
            <w:tcW w:w="1742" w:type="dxa"/>
            <w:noWrap/>
            <w:vAlign w:val="center"/>
          </w:tcPr>
          <w:p w14:paraId="63DB46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E2AF2C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6/13/2023</w:t>
            </w:r>
          </w:p>
        </w:tc>
      </w:tr>
      <w:tr w:rsidR="00E6113B" w:rsidRPr="00E6113B" w14:paraId="20912E89"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1715FD3"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3575EA5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07ABAB8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NEVADA</w:t>
            </w:r>
          </w:p>
        </w:tc>
        <w:tc>
          <w:tcPr>
            <w:tcW w:w="1350" w:type="dxa"/>
            <w:noWrap/>
            <w:vAlign w:val="center"/>
          </w:tcPr>
          <w:p w14:paraId="5FE01C0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5/4/2023</w:t>
            </w:r>
          </w:p>
        </w:tc>
        <w:tc>
          <w:tcPr>
            <w:tcW w:w="1742" w:type="dxa"/>
            <w:noWrap/>
            <w:vAlign w:val="center"/>
          </w:tcPr>
          <w:p w14:paraId="33A11FE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DONNIE PRIVETT</w:t>
            </w:r>
          </w:p>
        </w:tc>
        <w:tc>
          <w:tcPr>
            <w:tcW w:w="1829" w:type="dxa"/>
            <w:noWrap/>
            <w:vAlign w:val="center"/>
          </w:tcPr>
          <w:p w14:paraId="47519A1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2E8BD8C8"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CB310DD"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867" w:type="dxa"/>
            <w:noWrap/>
            <w:vAlign w:val="center"/>
          </w:tcPr>
          <w:p w14:paraId="7C9AD8F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County</w:t>
            </w:r>
          </w:p>
        </w:tc>
        <w:tc>
          <w:tcPr>
            <w:tcW w:w="2520" w:type="dxa"/>
            <w:noWrap/>
            <w:vAlign w:val="center"/>
          </w:tcPr>
          <w:p w14:paraId="5B8308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HUMBOLDT COUNTY</w:t>
            </w:r>
          </w:p>
        </w:tc>
        <w:tc>
          <w:tcPr>
            <w:tcW w:w="1350" w:type="dxa"/>
            <w:noWrap/>
            <w:vAlign w:val="center"/>
          </w:tcPr>
          <w:p w14:paraId="4CDE5F7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6/5/2023</w:t>
            </w:r>
          </w:p>
        </w:tc>
        <w:tc>
          <w:tcPr>
            <w:tcW w:w="1742" w:type="dxa"/>
            <w:noWrap/>
            <w:vAlign w:val="center"/>
          </w:tcPr>
          <w:p w14:paraId="0A0181B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JAMES AUSBOE</w:t>
            </w:r>
          </w:p>
        </w:tc>
        <w:tc>
          <w:tcPr>
            <w:tcW w:w="1829" w:type="dxa"/>
            <w:noWrap/>
            <w:vAlign w:val="center"/>
          </w:tcPr>
          <w:p w14:paraId="76DA44B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626284D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084D7E"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4791B6A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3C1859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PALOS VERDES ESTATES</w:t>
            </w:r>
          </w:p>
        </w:tc>
        <w:tc>
          <w:tcPr>
            <w:tcW w:w="1350" w:type="dxa"/>
            <w:noWrap/>
            <w:vAlign w:val="center"/>
          </w:tcPr>
          <w:p w14:paraId="0D23703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6/22/2023</w:t>
            </w:r>
          </w:p>
        </w:tc>
        <w:tc>
          <w:tcPr>
            <w:tcW w:w="1742" w:type="dxa"/>
            <w:noWrap/>
            <w:vAlign w:val="center"/>
          </w:tcPr>
          <w:p w14:paraId="2393E02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7B0AA4D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7A41A86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88E7FD2"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vAlign w:val="center"/>
          </w:tcPr>
          <w:p w14:paraId="0DCA8E1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County</w:t>
            </w:r>
          </w:p>
        </w:tc>
        <w:tc>
          <w:tcPr>
            <w:tcW w:w="2520" w:type="dxa"/>
            <w:noWrap/>
            <w:vAlign w:val="center"/>
          </w:tcPr>
          <w:p w14:paraId="2EB9799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GLENN COUNTY</w:t>
            </w:r>
          </w:p>
        </w:tc>
        <w:tc>
          <w:tcPr>
            <w:tcW w:w="1350" w:type="dxa"/>
            <w:noWrap/>
            <w:vAlign w:val="center"/>
          </w:tcPr>
          <w:p w14:paraId="1C7A9E6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6/28/2023</w:t>
            </w:r>
          </w:p>
        </w:tc>
        <w:tc>
          <w:tcPr>
            <w:tcW w:w="1742" w:type="dxa"/>
            <w:noWrap/>
            <w:vAlign w:val="center"/>
          </w:tcPr>
          <w:p w14:paraId="271AA0C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JAMES AUSBOE</w:t>
            </w:r>
          </w:p>
        </w:tc>
        <w:tc>
          <w:tcPr>
            <w:tcW w:w="1829" w:type="dxa"/>
            <w:noWrap/>
            <w:vAlign w:val="center"/>
          </w:tcPr>
          <w:p w14:paraId="43965B8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7/25/2023</w:t>
            </w:r>
          </w:p>
        </w:tc>
      </w:tr>
      <w:tr w:rsidR="00E6113B" w:rsidRPr="00E6113B" w14:paraId="4FEBD1E3"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3E63BE7"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vAlign w:val="center"/>
          </w:tcPr>
          <w:p w14:paraId="7294E7A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5587F09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LA HABRA</w:t>
            </w:r>
          </w:p>
        </w:tc>
        <w:tc>
          <w:tcPr>
            <w:tcW w:w="1350" w:type="dxa"/>
            <w:noWrap/>
            <w:vAlign w:val="center"/>
          </w:tcPr>
          <w:p w14:paraId="5B25EC0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6/28/2023</w:t>
            </w:r>
          </w:p>
        </w:tc>
        <w:tc>
          <w:tcPr>
            <w:tcW w:w="1742" w:type="dxa"/>
            <w:noWrap/>
            <w:vAlign w:val="center"/>
          </w:tcPr>
          <w:p w14:paraId="58DCCF90"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J KENNEDY</w:t>
            </w:r>
          </w:p>
        </w:tc>
        <w:tc>
          <w:tcPr>
            <w:tcW w:w="1829" w:type="dxa"/>
            <w:noWrap/>
            <w:vAlign w:val="center"/>
          </w:tcPr>
          <w:p w14:paraId="2A13AD4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1EB75126"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24DFE1C9"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BE59A3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7259DA5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BRADBURY</w:t>
            </w:r>
          </w:p>
        </w:tc>
        <w:tc>
          <w:tcPr>
            <w:tcW w:w="1350" w:type="dxa"/>
            <w:noWrap/>
            <w:vAlign w:val="center"/>
          </w:tcPr>
          <w:p w14:paraId="7C1920F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7/4/2023</w:t>
            </w:r>
          </w:p>
        </w:tc>
        <w:tc>
          <w:tcPr>
            <w:tcW w:w="1742" w:type="dxa"/>
            <w:noWrap/>
            <w:vAlign w:val="center"/>
          </w:tcPr>
          <w:p w14:paraId="6B120E1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2EB2DC3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7/25/2023</w:t>
            </w:r>
          </w:p>
        </w:tc>
      </w:tr>
      <w:tr w:rsidR="00E6113B" w:rsidRPr="00E6113B" w14:paraId="01F33BA6"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79B0DB7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10E175E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3475B00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OAKLAND</w:t>
            </w:r>
          </w:p>
        </w:tc>
        <w:tc>
          <w:tcPr>
            <w:tcW w:w="1350" w:type="dxa"/>
            <w:noWrap/>
            <w:vAlign w:val="center"/>
          </w:tcPr>
          <w:p w14:paraId="21EEFFD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8/1/2023</w:t>
            </w:r>
          </w:p>
        </w:tc>
        <w:tc>
          <w:tcPr>
            <w:tcW w:w="1742" w:type="dxa"/>
            <w:noWrap/>
            <w:vAlign w:val="center"/>
          </w:tcPr>
          <w:p w14:paraId="68D8D7C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FC KENNEDY</w:t>
            </w:r>
          </w:p>
        </w:tc>
        <w:tc>
          <w:tcPr>
            <w:tcW w:w="1829" w:type="dxa"/>
            <w:noWrap/>
            <w:vAlign w:val="center"/>
          </w:tcPr>
          <w:p w14:paraId="61D9F7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7615C9B5"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B43FDC2" w14:textId="77777777" w:rsidR="00E6113B" w:rsidRPr="00E6113B" w:rsidRDefault="00E6113B" w:rsidP="00344F84">
            <w:pPr>
              <w:widowControl/>
              <w:rPr>
                <w:rFonts w:eastAsia="Times New Roman" w:cs="Calibri"/>
                <w:b w:val="0"/>
                <w:bCs w:val="0"/>
                <w:color w:val="000000"/>
              </w:rPr>
            </w:pPr>
            <w:r w:rsidRPr="00E6113B">
              <w:rPr>
                <w:rFonts w:eastAsia="Times New Roman" w:cs="Calibri"/>
                <w:b w:val="0"/>
                <w:bCs w:val="0"/>
                <w:color w:val="000000"/>
              </w:rPr>
              <w:t>CSR</w:t>
            </w:r>
          </w:p>
        </w:tc>
        <w:tc>
          <w:tcPr>
            <w:tcW w:w="867" w:type="dxa"/>
            <w:noWrap/>
          </w:tcPr>
          <w:p w14:paraId="2A6AECF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12C43B"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SANTEE</w:t>
            </w:r>
          </w:p>
        </w:tc>
        <w:tc>
          <w:tcPr>
            <w:tcW w:w="1350" w:type="dxa"/>
            <w:noWrap/>
            <w:vAlign w:val="center"/>
          </w:tcPr>
          <w:p w14:paraId="61FF043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8/2/2023</w:t>
            </w:r>
          </w:p>
        </w:tc>
        <w:tc>
          <w:tcPr>
            <w:tcW w:w="1742" w:type="dxa"/>
            <w:noWrap/>
            <w:vAlign w:val="center"/>
          </w:tcPr>
          <w:p w14:paraId="0F51AAB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eastAsia="Times New Roman" w:cs="Calibri"/>
                <w:color w:val="000000"/>
              </w:rPr>
              <w:t>BRIAN OLSEN</w:t>
            </w:r>
          </w:p>
        </w:tc>
        <w:tc>
          <w:tcPr>
            <w:tcW w:w="1829" w:type="dxa"/>
            <w:noWrap/>
            <w:vAlign w:val="center"/>
          </w:tcPr>
          <w:p w14:paraId="4B0E13A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8/22/2023</w:t>
            </w:r>
          </w:p>
        </w:tc>
      </w:tr>
      <w:tr w:rsidR="00E6113B" w:rsidRPr="00E6113B" w14:paraId="6B375E15"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CE81A3E"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F438F2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DD84B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THOUSAND OAKS</w:t>
            </w:r>
          </w:p>
        </w:tc>
        <w:tc>
          <w:tcPr>
            <w:tcW w:w="1350" w:type="dxa"/>
            <w:noWrap/>
            <w:vAlign w:val="center"/>
          </w:tcPr>
          <w:p w14:paraId="7DE38F63"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8/31/2023</w:t>
            </w:r>
          </w:p>
        </w:tc>
        <w:tc>
          <w:tcPr>
            <w:tcW w:w="1742" w:type="dxa"/>
            <w:noWrap/>
            <w:vAlign w:val="center"/>
          </w:tcPr>
          <w:p w14:paraId="1E00BFF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SHAWN ARNOLD</w:t>
            </w:r>
          </w:p>
        </w:tc>
        <w:tc>
          <w:tcPr>
            <w:tcW w:w="1829" w:type="dxa"/>
            <w:noWrap/>
            <w:vAlign w:val="center"/>
          </w:tcPr>
          <w:p w14:paraId="1DD0B83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1D61B2D"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6213880"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03815D7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14EC803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PIEDMONT</w:t>
            </w:r>
          </w:p>
        </w:tc>
        <w:tc>
          <w:tcPr>
            <w:tcW w:w="1350" w:type="dxa"/>
            <w:noWrap/>
            <w:vAlign w:val="center"/>
          </w:tcPr>
          <w:p w14:paraId="4FFEB456"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79592D9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6D36FEB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5DC074F"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3DDD7AD1"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74BD8C4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26BC40C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SARATOGA</w:t>
            </w:r>
          </w:p>
        </w:tc>
        <w:tc>
          <w:tcPr>
            <w:tcW w:w="1350" w:type="dxa"/>
            <w:noWrap/>
            <w:vAlign w:val="center"/>
          </w:tcPr>
          <w:p w14:paraId="1F0E3E8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008297C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M KENNEDY</w:t>
            </w:r>
          </w:p>
        </w:tc>
        <w:tc>
          <w:tcPr>
            <w:tcW w:w="1829" w:type="dxa"/>
            <w:noWrap/>
            <w:vAlign w:val="center"/>
          </w:tcPr>
          <w:p w14:paraId="2D050D4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47436B3" w14:textId="77777777" w:rsidTr="00344F84">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1139DA"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10E541C1"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46184F9F"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RIALTO</w:t>
            </w:r>
          </w:p>
        </w:tc>
        <w:tc>
          <w:tcPr>
            <w:tcW w:w="1350" w:type="dxa"/>
            <w:noWrap/>
            <w:vAlign w:val="center"/>
          </w:tcPr>
          <w:p w14:paraId="2DB35DA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51DAAA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6E28F60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3029FC92"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6963531B"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CSR</w:t>
            </w:r>
          </w:p>
        </w:tc>
        <w:tc>
          <w:tcPr>
            <w:tcW w:w="867" w:type="dxa"/>
            <w:noWrap/>
          </w:tcPr>
          <w:p w14:paraId="22782A1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76F3BB2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CARLSBAD</w:t>
            </w:r>
          </w:p>
        </w:tc>
        <w:tc>
          <w:tcPr>
            <w:tcW w:w="1350" w:type="dxa"/>
            <w:noWrap/>
            <w:vAlign w:val="center"/>
          </w:tcPr>
          <w:p w14:paraId="7F5F983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11604AA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BRIAN OLSEN</w:t>
            </w:r>
          </w:p>
        </w:tc>
        <w:tc>
          <w:tcPr>
            <w:tcW w:w="1829" w:type="dxa"/>
            <w:noWrap/>
            <w:vAlign w:val="center"/>
          </w:tcPr>
          <w:p w14:paraId="361DCC0E"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60CA5BE3" w14:textId="77777777" w:rsidTr="00344F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55CB2B74" w14:textId="77777777" w:rsidR="00E6113B" w:rsidRPr="00E6113B" w:rsidRDefault="00E6113B" w:rsidP="00344F84">
            <w:pPr>
              <w:widowControl/>
              <w:rPr>
                <w:rFonts w:eastAsia="Times New Roman" w:cs="Calibri"/>
                <w:b w:val="0"/>
                <w:bCs w:val="0"/>
                <w:color w:val="000000"/>
              </w:rPr>
            </w:pPr>
            <w:r w:rsidRPr="00E6113B">
              <w:rPr>
                <w:rFonts w:cs="Calibri"/>
                <w:b w:val="0"/>
                <w:bCs w:val="0"/>
                <w:color w:val="000000"/>
              </w:rPr>
              <w:t>CNR</w:t>
            </w:r>
          </w:p>
        </w:tc>
        <w:tc>
          <w:tcPr>
            <w:tcW w:w="867" w:type="dxa"/>
            <w:noWrap/>
          </w:tcPr>
          <w:p w14:paraId="6E4EE6BE"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City</w:t>
            </w:r>
          </w:p>
        </w:tc>
        <w:tc>
          <w:tcPr>
            <w:tcW w:w="2520" w:type="dxa"/>
            <w:noWrap/>
            <w:vAlign w:val="center"/>
          </w:tcPr>
          <w:p w14:paraId="63F6EC8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LARKSPUR</w:t>
            </w:r>
          </w:p>
        </w:tc>
        <w:tc>
          <w:tcPr>
            <w:tcW w:w="1350" w:type="dxa"/>
            <w:noWrap/>
            <w:vAlign w:val="center"/>
          </w:tcPr>
          <w:p w14:paraId="12DDBBDC"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9/5/2023</w:t>
            </w:r>
          </w:p>
        </w:tc>
        <w:tc>
          <w:tcPr>
            <w:tcW w:w="1742" w:type="dxa"/>
            <w:noWrap/>
            <w:vAlign w:val="center"/>
          </w:tcPr>
          <w:p w14:paraId="5F7CAA3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DONNIE PRIVETT</w:t>
            </w:r>
          </w:p>
        </w:tc>
        <w:tc>
          <w:tcPr>
            <w:tcW w:w="1829" w:type="dxa"/>
            <w:noWrap/>
            <w:vAlign w:val="center"/>
          </w:tcPr>
          <w:p w14:paraId="4C9A917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E6113B">
              <w:rPr>
                <w:rFonts w:cs="Calibri"/>
                <w:color w:val="000000"/>
              </w:rPr>
              <w:t>9/26/2023</w:t>
            </w:r>
          </w:p>
        </w:tc>
      </w:tr>
      <w:tr w:rsidR="00E6113B" w:rsidRPr="00E6113B" w14:paraId="7CADD0CA" w14:textId="77777777" w:rsidTr="00344F84">
        <w:trPr>
          <w:trHeight w:val="290"/>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4E340A60"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867" w:type="dxa"/>
            <w:noWrap/>
          </w:tcPr>
          <w:p w14:paraId="3D7EE8D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City</w:t>
            </w:r>
          </w:p>
        </w:tc>
        <w:tc>
          <w:tcPr>
            <w:tcW w:w="2520" w:type="dxa"/>
            <w:noWrap/>
            <w:vAlign w:val="center"/>
          </w:tcPr>
          <w:p w14:paraId="48B6F2B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ARCADIA</w:t>
            </w:r>
          </w:p>
        </w:tc>
        <w:tc>
          <w:tcPr>
            <w:tcW w:w="1350" w:type="dxa"/>
            <w:noWrap/>
            <w:vAlign w:val="center"/>
          </w:tcPr>
          <w:p w14:paraId="2D895CCC"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10/27/2023</w:t>
            </w:r>
          </w:p>
        </w:tc>
        <w:tc>
          <w:tcPr>
            <w:tcW w:w="1742" w:type="dxa"/>
            <w:noWrap/>
            <w:vAlign w:val="center"/>
          </w:tcPr>
          <w:p w14:paraId="09B9D88D"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KEVIN MERKH</w:t>
            </w:r>
          </w:p>
        </w:tc>
        <w:tc>
          <w:tcPr>
            <w:tcW w:w="1829" w:type="dxa"/>
            <w:noWrap/>
            <w:vAlign w:val="center"/>
          </w:tcPr>
          <w:p w14:paraId="39B555E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11/7/2023</w:t>
            </w:r>
          </w:p>
        </w:tc>
      </w:tr>
    </w:tbl>
    <w:p w14:paraId="6C175937" w14:textId="6AE25B5C" w:rsidR="00AF44AA" w:rsidRPr="00E6113B" w:rsidRDefault="00AF44AA" w:rsidP="006564C4">
      <w:pPr>
        <w:pStyle w:val="ListParagraph"/>
        <w:ind w:left="2160"/>
        <w:rPr>
          <w:rFonts w:ascii="Century Gothic" w:eastAsia="Arial" w:hAnsi="Century Gothic"/>
          <w:bCs/>
          <w:i/>
          <w:spacing w:val="-2"/>
          <w:sz w:val="24"/>
        </w:rPr>
      </w:pPr>
    </w:p>
    <w:p w14:paraId="56C694D5" w14:textId="77777777"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Subdivision Review Program</w:t>
      </w:r>
    </w:p>
    <w:p w14:paraId="1B4880FA" w14:textId="77777777" w:rsidR="00AF44AA" w:rsidRPr="00E6113B" w:rsidRDefault="00AF44AA" w:rsidP="00AF44AA">
      <w:pPr>
        <w:ind w:left="180"/>
        <w:rPr>
          <w:rFonts w:ascii="Century Gothic" w:eastAsia="Arial" w:hAnsi="Century Gothic"/>
          <w:bCs/>
          <w:i/>
          <w:spacing w:val="-2"/>
          <w:sz w:val="24"/>
        </w:rPr>
      </w:pPr>
    </w:p>
    <w:p w14:paraId="4788C93E"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Public Resources Code §4290.1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659D21DE" w14:textId="77777777" w:rsidR="00AF44AA" w:rsidRPr="00E6113B" w:rsidRDefault="00AF44AA" w:rsidP="00AF44AA">
      <w:pPr>
        <w:ind w:left="180"/>
        <w:rPr>
          <w:rFonts w:ascii="Century Gothic" w:eastAsia="Arial" w:hAnsi="Century Gothic"/>
          <w:bCs/>
          <w:iCs/>
          <w:spacing w:val="-2"/>
          <w:sz w:val="24"/>
        </w:rPr>
      </w:pPr>
    </w:p>
    <w:p w14:paraId="58293363" w14:textId="77777777" w:rsidR="00AF44AA" w:rsidRPr="00E6113B" w:rsidRDefault="00AF44AA" w:rsidP="00AF44AA">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E6113B">
        <w:rPr>
          <w:rFonts w:ascii="Century Gothic" w:eastAsia="Arial" w:hAnsi="Century Gothic"/>
          <w:bCs/>
          <w:iCs/>
          <w:spacing w:val="-2"/>
          <w:sz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3FA552D4" w14:textId="77777777" w:rsidR="00AF44AA" w:rsidRPr="00E6113B" w:rsidRDefault="00AF44AA" w:rsidP="00AF44AA">
      <w:pPr>
        <w:ind w:left="180"/>
        <w:rPr>
          <w:rFonts w:ascii="Century Gothic" w:eastAsia="Arial" w:hAnsi="Century Gothic"/>
          <w:bCs/>
          <w:iCs/>
          <w:spacing w:val="-2"/>
          <w:sz w:val="24"/>
        </w:rPr>
      </w:pPr>
    </w:p>
    <w:p w14:paraId="09D14841" w14:textId="1339C236" w:rsidR="00E6113B" w:rsidRPr="00E6113B" w:rsidRDefault="00E6113B" w:rsidP="00E6113B">
      <w:pPr>
        <w:ind w:left="180"/>
        <w:rPr>
          <w:rFonts w:ascii="Century Gothic" w:eastAsia="Arial" w:hAnsi="Century Gothic"/>
          <w:bCs/>
          <w:iCs/>
          <w:spacing w:val="-2"/>
          <w:sz w:val="24"/>
        </w:rPr>
      </w:pPr>
      <w:r w:rsidRPr="00E6113B">
        <w:rPr>
          <w:rFonts w:ascii="Century Gothic" w:eastAsia="Arial" w:hAnsi="Century Gothic"/>
          <w:bCs/>
          <w:iCs/>
          <w:spacing w:val="-2"/>
          <w:sz w:val="24"/>
        </w:rPr>
        <w:t xml:space="preserve">Of the state’s 56 counties which contain SRA or LRA VHFHSZ, 50 contain subdivisions which meet the criteria to be surveyed. Approximately 2,100 subdivisions have been identified for survey. Surveys have been completed for approximately </w:t>
      </w:r>
      <w:proofErr w:type="gramStart"/>
      <w:r w:rsidRPr="00E6113B">
        <w:rPr>
          <w:rFonts w:ascii="Century Gothic" w:eastAsia="Arial" w:hAnsi="Century Gothic"/>
          <w:bCs/>
          <w:iCs/>
          <w:spacing w:val="-2"/>
          <w:sz w:val="24"/>
        </w:rPr>
        <w:t>1,800,of</w:t>
      </w:r>
      <w:proofErr w:type="gramEnd"/>
      <w:r w:rsidRPr="00E6113B">
        <w:rPr>
          <w:rFonts w:ascii="Century Gothic" w:eastAsia="Arial" w:hAnsi="Century Gothic"/>
          <w:bCs/>
          <w:iCs/>
          <w:spacing w:val="-2"/>
          <w:sz w:val="24"/>
        </w:rPr>
        <w:t xml:space="preserve"> those, or 82%. The Board has reviewed approximately 1,700 of the resulting reports as of December 2023. </w:t>
      </w:r>
    </w:p>
    <w:p w14:paraId="44675E24" w14:textId="3CCD88D5" w:rsidR="00AF44AA" w:rsidRPr="00E6113B" w:rsidRDefault="00AF44AA" w:rsidP="00AF44AA">
      <w:pPr>
        <w:ind w:left="180"/>
        <w:rPr>
          <w:rFonts w:ascii="Century Gothic" w:eastAsia="Arial" w:hAnsi="Century Gothic"/>
          <w:bCs/>
          <w:iCs/>
          <w:spacing w:val="-2"/>
          <w:sz w:val="24"/>
        </w:rPr>
      </w:pPr>
    </w:p>
    <w:p w14:paraId="4C935DB9" w14:textId="77777777" w:rsidR="00AF44AA" w:rsidRPr="00E6113B" w:rsidRDefault="00AF44AA" w:rsidP="00AF44AA">
      <w:pPr>
        <w:ind w:left="180"/>
        <w:rPr>
          <w:rFonts w:ascii="Century Gothic" w:eastAsia="Arial" w:hAnsi="Century Gothic"/>
          <w:bCs/>
          <w:iCs/>
          <w:spacing w:val="-2"/>
          <w:sz w:val="24"/>
        </w:rPr>
      </w:pPr>
    </w:p>
    <w:p w14:paraId="4C7F6975" w14:textId="4EFA0E85" w:rsidR="00AF44AA" w:rsidRPr="00E6113B" w:rsidRDefault="00AF44AA" w:rsidP="00AF44AA">
      <w:pPr>
        <w:jc w:val="center"/>
        <w:outlineLvl w:val="3"/>
        <w:rPr>
          <w:rFonts w:ascii="Century Gothic" w:eastAsia="Arial" w:hAnsi="Century Gothic"/>
          <w:b/>
          <w:iCs/>
          <w:sz w:val="24"/>
          <w:szCs w:val="24"/>
        </w:rPr>
      </w:pPr>
      <w:r w:rsidRPr="00E6113B">
        <w:rPr>
          <w:rFonts w:ascii="Century Gothic" w:eastAsia="Arial" w:hAnsi="Century Gothic"/>
          <w:b/>
          <w:iCs/>
          <w:sz w:val="24"/>
          <w:szCs w:val="24"/>
        </w:rPr>
        <w:t>Figure 1</w:t>
      </w:r>
      <w:r w:rsidR="00744900">
        <w:rPr>
          <w:rFonts w:ascii="Century Gothic" w:eastAsia="Arial" w:hAnsi="Century Gothic"/>
          <w:b/>
          <w:iCs/>
          <w:sz w:val="24"/>
          <w:szCs w:val="24"/>
        </w:rPr>
        <w:t>4</w:t>
      </w:r>
      <w:r w:rsidRPr="00E6113B">
        <w:rPr>
          <w:rFonts w:ascii="Century Gothic" w:eastAsia="Arial" w:hAnsi="Century Gothic"/>
          <w:b/>
          <w:iCs/>
          <w:sz w:val="24"/>
          <w:szCs w:val="24"/>
        </w:rPr>
        <w:t>. Jurisdictions for which all Fire Safety Survey Reports have been completed and reviewed by the Board, Jan 202</w:t>
      </w:r>
      <w:r w:rsidR="00C66851">
        <w:rPr>
          <w:rFonts w:ascii="Century Gothic" w:eastAsia="Arial" w:hAnsi="Century Gothic"/>
          <w:b/>
          <w:iCs/>
          <w:sz w:val="24"/>
          <w:szCs w:val="24"/>
        </w:rPr>
        <w:t>3</w:t>
      </w:r>
      <w:r w:rsidRPr="00E6113B">
        <w:rPr>
          <w:rFonts w:ascii="Century Gothic" w:eastAsia="Arial" w:hAnsi="Century Gothic"/>
          <w:b/>
          <w:iCs/>
          <w:sz w:val="24"/>
          <w:szCs w:val="24"/>
        </w:rPr>
        <w:t xml:space="preserve"> - </w:t>
      </w:r>
      <w:r w:rsidR="00C66851">
        <w:rPr>
          <w:rFonts w:ascii="Century Gothic" w:eastAsia="Arial" w:hAnsi="Century Gothic"/>
          <w:b/>
          <w:iCs/>
          <w:sz w:val="24"/>
          <w:szCs w:val="24"/>
        </w:rPr>
        <w:t>December</w:t>
      </w:r>
      <w:r w:rsidRPr="00E6113B">
        <w:rPr>
          <w:rFonts w:ascii="Century Gothic" w:eastAsia="Arial" w:hAnsi="Century Gothic"/>
          <w:b/>
          <w:iCs/>
          <w:sz w:val="24"/>
          <w:szCs w:val="24"/>
        </w:rPr>
        <w:t xml:space="preserve"> 202</w:t>
      </w:r>
      <w:r w:rsidR="00C66851">
        <w:rPr>
          <w:rFonts w:ascii="Century Gothic" w:eastAsia="Arial" w:hAnsi="Century Gothic"/>
          <w:b/>
          <w:iCs/>
          <w:sz w:val="24"/>
          <w:szCs w:val="24"/>
        </w:rPr>
        <w:t>3</w:t>
      </w:r>
    </w:p>
    <w:p w14:paraId="4EFD92E2" w14:textId="77777777" w:rsidR="00AF44AA" w:rsidRPr="00E6113B" w:rsidRDefault="00AF44AA" w:rsidP="00AF44AA">
      <w:pPr>
        <w:ind w:left="180"/>
        <w:rPr>
          <w:rFonts w:ascii="Century Gothic" w:eastAsia="Arial" w:hAnsi="Century Gothic"/>
          <w:bCs/>
          <w:i/>
          <w:spacing w:val="-2"/>
          <w:sz w:val="24"/>
        </w:rPr>
      </w:pPr>
    </w:p>
    <w:tbl>
      <w:tblPr>
        <w:tblStyle w:val="GridTable2"/>
        <w:tblW w:w="6660" w:type="dxa"/>
        <w:jc w:val="center"/>
        <w:tblLook w:val="04A0" w:firstRow="1" w:lastRow="0" w:firstColumn="1" w:lastColumn="0" w:noHBand="0" w:noVBand="1"/>
      </w:tblPr>
      <w:tblGrid>
        <w:gridCol w:w="1023"/>
        <w:gridCol w:w="232"/>
        <w:gridCol w:w="3548"/>
        <w:gridCol w:w="1857"/>
      </w:tblGrid>
      <w:tr w:rsidR="00E6113B" w:rsidRPr="00E6113B" w14:paraId="51AA6823" w14:textId="77777777" w:rsidTr="00344F84">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023" w:type="dxa"/>
            <w:noWrap/>
            <w:hideMark/>
          </w:tcPr>
          <w:p w14:paraId="333B8B9D" w14:textId="77777777" w:rsidR="00E6113B" w:rsidRPr="00E6113B" w:rsidRDefault="00E6113B" w:rsidP="00344F84">
            <w:pPr>
              <w:widowControl/>
              <w:rPr>
                <w:rFonts w:ascii="Century Gothic" w:hAnsi="Century Gothic"/>
                <w:color w:val="000000"/>
                <w:sz w:val="24"/>
              </w:rPr>
            </w:pPr>
            <w:r w:rsidRPr="00E6113B">
              <w:rPr>
                <w:rFonts w:ascii="Century Gothic" w:hAnsi="Century Gothic"/>
                <w:color w:val="000000"/>
                <w:sz w:val="24"/>
              </w:rPr>
              <w:t>Region</w:t>
            </w:r>
          </w:p>
        </w:tc>
        <w:tc>
          <w:tcPr>
            <w:tcW w:w="3780" w:type="dxa"/>
            <w:gridSpan w:val="2"/>
            <w:noWrap/>
            <w:hideMark/>
          </w:tcPr>
          <w:p w14:paraId="0E67D8C2"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Jurisdiction</w:t>
            </w:r>
          </w:p>
        </w:tc>
        <w:tc>
          <w:tcPr>
            <w:tcW w:w="1857" w:type="dxa"/>
            <w:noWrap/>
            <w:hideMark/>
          </w:tcPr>
          <w:p w14:paraId="40F35255" w14:textId="77777777" w:rsidR="00E6113B" w:rsidRPr="00E6113B" w:rsidRDefault="00E6113B" w:rsidP="00344F84">
            <w:pPr>
              <w:widowControl/>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sz w:val="24"/>
              </w:rPr>
            </w:pPr>
            <w:r w:rsidRPr="00E6113B">
              <w:rPr>
                <w:rFonts w:ascii="Century Gothic" w:hAnsi="Century Gothic"/>
                <w:color w:val="000000"/>
                <w:sz w:val="24"/>
              </w:rPr>
              <w:t>Board Review</w:t>
            </w:r>
          </w:p>
        </w:tc>
      </w:tr>
      <w:tr w:rsidR="00E6113B" w:rsidRPr="00E6113B" w14:paraId="1C8A9673"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1169D7B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485488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Fresno County</w:t>
            </w:r>
          </w:p>
        </w:tc>
        <w:tc>
          <w:tcPr>
            <w:tcW w:w="1857" w:type="dxa"/>
            <w:noWrap/>
            <w:vAlign w:val="bottom"/>
            <w:hideMark/>
          </w:tcPr>
          <w:p w14:paraId="283BE34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5FB1B62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BBA7F1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CAA498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Santa Clara County</w:t>
            </w:r>
          </w:p>
        </w:tc>
        <w:tc>
          <w:tcPr>
            <w:tcW w:w="1857" w:type="dxa"/>
            <w:noWrap/>
            <w:vAlign w:val="bottom"/>
            <w:hideMark/>
          </w:tcPr>
          <w:p w14:paraId="7BD2C3E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3/7/2023</w:t>
            </w:r>
          </w:p>
        </w:tc>
      </w:tr>
      <w:tr w:rsidR="00E6113B" w:rsidRPr="00E6113B" w14:paraId="309D96D8"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FA4E1B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374C9A8"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El Dorado County</w:t>
            </w:r>
          </w:p>
        </w:tc>
        <w:tc>
          <w:tcPr>
            <w:tcW w:w="1857" w:type="dxa"/>
            <w:noWrap/>
            <w:vAlign w:val="bottom"/>
            <w:hideMark/>
          </w:tcPr>
          <w:p w14:paraId="2268FC2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4/4/2023</w:t>
            </w:r>
          </w:p>
        </w:tc>
      </w:tr>
      <w:tr w:rsidR="00E6113B" w:rsidRPr="00E6113B" w14:paraId="2A02D41A"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8B0A4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1BB3E461"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County</w:t>
            </w:r>
          </w:p>
        </w:tc>
        <w:tc>
          <w:tcPr>
            <w:tcW w:w="1857" w:type="dxa"/>
            <w:noWrap/>
            <w:vAlign w:val="bottom"/>
            <w:hideMark/>
          </w:tcPr>
          <w:p w14:paraId="5F4D0D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0FCCCB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98FC096"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2ADC1DD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Santa Barbara City</w:t>
            </w:r>
          </w:p>
        </w:tc>
        <w:tc>
          <w:tcPr>
            <w:tcW w:w="1857" w:type="dxa"/>
            <w:noWrap/>
            <w:vAlign w:val="bottom"/>
            <w:hideMark/>
          </w:tcPr>
          <w:p w14:paraId="5971E22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5/9/2023</w:t>
            </w:r>
          </w:p>
        </w:tc>
      </w:tr>
      <w:tr w:rsidR="00E6113B" w:rsidRPr="00E6113B" w14:paraId="09051440"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D46D30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119F2F5"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Butte County</w:t>
            </w:r>
          </w:p>
        </w:tc>
        <w:tc>
          <w:tcPr>
            <w:tcW w:w="1857" w:type="dxa"/>
            <w:noWrap/>
            <w:vAlign w:val="bottom"/>
            <w:hideMark/>
          </w:tcPr>
          <w:p w14:paraId="7B8A705A"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3442587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2E68FED"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022C452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Lake County</w:t>
            </w:r>
          </w:p>
        </w:tc>
        <w:tc>
          <w:tcPr>
            <w:tcW w:w="1857" w:type="dxa"/>
            <w:noWrap/>
            <w:vAlign w:val="bottom"/>
            <w:hideMark/>
          </w:tcPr>
          <w:p w14:paraId="77668D2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6/13/2023</w:t>
            </w:r>
          </w:p>
        </w:tc>
      </w:tr>
      <w:tr w:rsidR="00E6113B" w:rsidRPr="00E6113B" w14:paraId="2CB655A1"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704937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3E435D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Stanislaus County</w:t>
            </w:r>
          </w:p>
        </w:tc>
        <w:tc>
          <w:tcPr>
            <w:tcW w:w="1857" w:type="dxa"/>
            <w:noWrap/>
            <w:vAlign w:val="bottom"/>
            <w:hideMark/>
          </w:tcPr>
          <w:p w14:paraId="24F3815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454F497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69FFC599"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44C5CB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Nevada County</w:t>
            </w:r>
          </w:p>
        </w:tc>
        <w:tc>
          <w:tcPr>
            <w:tcW w:w="1857" w:type="dxa"/>
            <w:noWrap/>
            <w:vAlign w:val="bottom"/>
            <w:hideMark/>
          </w:tcPr>
          <w:p w14:paraId="508CD189"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DA339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DC13145"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478BE6E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Alameda County</w:t>
            </w:r>
          </w:p>
        </w:tc>
        <w:tc>
          <w:tcPr>
            <w:tcW w:w="1857" w:type="dxa"/>
            <w:noWrap/>
            <w:vAlign w:val="bottom"/>
            <w:hideMark/>
          </w:tcPr>
          <w:p w14:paraId="5D2606A8"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1670E47D"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BFA42E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5AE4AAD2"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Arial"/>
                <w:color w:val="000000"/>
              </w:rPr>
              <w:t>San Joaquin County</w:t>
            </w:r>
          </w:p>
        </w:tc>
        <w:tc>
          <w:tcPr>
            <w:tcW w:w="1857" w:type="dxa"/>
            <w:noWrap/>
            <w:vAlign w:val="bottom"/>
            <w:hideMark/>
          </w:tcPr>
          <w:p w14:paraId="117A288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7/25/2023</w:t>
            </w:r>
          </w:p>
        </w:tc>
      </w:tr>
      <w:tr w:rsidR="00E6113B" w:rsidRPr="00E6113B" w14:paraId="2E3DEA1C"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3FA3A0C"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31919F66"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Mendocino County</w:t>
            </w:r>
          </w:p>
        </w:tc>
        <w:tc>
          <w:tcPr>
            <w:tcW w:w="1857" w:type="dxa"/>
            <w:noWrap/>
            <w:vAlign w:val="bottom"/>
            <w:hideMark/>
          </w:tcPr>
          <w:p w14:paraId="3A9CD90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8/22/2023</w:t>
            </w:r>
          </w:p>
        </w:tc>
      </w:tr>
      <w:tr w:rsidR="00E6113B" w:rsidRPr="00E6113B" w14:paraId="1B62021A"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84AF97C" w14:textId="77777777" w:rsidR="00E6113B" w:rsidRPr="00E6113B" w:rsidRDefault="00E6113B" w:rsidP="00344F84">
            <w:pPr>
              <w:widowControl/>
              <w:rPr>
                <w:rFonts w:cs="Calibri"/>
                <w:b w:val="0"/>
                <w:bCs w:val="0"/>
                <w:color w:val="000000"/>
              </w:rPr>
            </w:pPr>
            <w:r w:rsidRPr="00E6113B">
              <w:rPr>
                <w:rFonts w:cs="Calibri"/>
                <w:b w:val="0"/>
                <w:bCs w:val="0"/>
                <w:color w:val="000000"/>
              </w:rPr>
              <w:t>CSR</w:t>
            </w:r>
          </w:p>
        </w:tc>
        <w:tc>
          <w:tcPr>
            <w:tcW w:w="3548" w:type="dxa"/>
            <w:noWrap/>
            <w:vAlign w:val="bottom"/>
          </w:tcPr>
          <w:p w14:paraId="0F51BE33"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 xml:space="preserve"> City of Poway</w:t>
            </w:r>
          </w:p>
        </w:tc>
        <w:tc>
          <w:tcPr>
            <w:tcW w:w="1857" w:type="dxa"/>
            <w:noWrap/>
            <w:vAlign w:val="bottom"/>
          </w:tcPr>
          <w:p w14:paraId="4DFA6E3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27242BB9"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tcPr>
          <w:p w14:paraId="19F7710B" w14:textId="77777777" w:rsidR="00E6113B" w:rsidRPr="00E6113B" w:rsidRDefault="00E6113B" w:rsidP="00344F84">
            <w:pPr>
              <w:widowControl/>
              <w:rPr>
                <w:rFonts w:cs="Calibri"/>
                <w:b w:val="0"/>
                <w:bCs w:val="0"/>
                <w:color w:val="000000"/>
              </w:rPr>
            </w:pPr>
            <w:r w:rsidRPr="00E6113B">
              <w:rPr>
                <w:rFonts w:cs="Calibri"/>
                <w:b w:val="0"/>
                <w:bCs w:val="0"/>
                <w:color w:val="000000"/>
              </w:rPr>
              <w:t>CNR</w:t>
            </w:r>
          </w:p>
        </w:tc>
        <w:tc>
          <w:tcPr>
            <w:tcW w:w="3548" w:type="dxa"/>
            <w:noWrap/>
            <w:vAlign w:val="bottom"/>
          </w:tcPr>
          <w:p w14:paraId="44B8856B"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Yuba County</w:t>
            </w:r>
          </w:p>
        </w:tc>
        <w:tc>
          <w:tcPr>
            <w:tcW w:w="1857" w:type="dxa"/>
            <w:noWrap/>
            <w:vAlign w:val="bottom"/>
          </w:tcPr>
          <w:p w14:paraId="75E32C37"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cs="Calibri"/>
                <w:color w:val="000000"/>
              </w:rPr>
            </w:pPr>
            <w:r w:rsidRPr="00E6113B">
              <w:rPr>
                <w:rFonts w:cs="Calibri"/>
                <w:color w:val="000000"/>
              </w:rPr>
              <w:t>9/26/2023</w:t>
            </w:r>
          </w:p>
        </w:tc>
      </w:tr>
      <w:tr w:rsidR="00E6113B" w:rsidRPr="00E6113B" w14:paraId="7506FA42"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31AE27DB"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013BD9A0"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Monterey</w:t>
            </w:r>
          </w:p>
        </w:tc>
        <w:tc>
          <w:tcPr>
            <w:tcW w:w="1857" w:type="dxa"/>
            <w:noWrap/>
            <w:vAlign w:val="bottom"/>
            <w:hideMark/>
          </w:tcPr>
          <w:p w14:paraId="7018732A"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2A86C7F7"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7BB9FDA"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63F03AFF"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County of Monterey</w:t>
            </w:r>
          </w:p>
        </w:tc>
        <w:tc>
          <w:tcPr>
            <w:tcW w:w="1857" w:type="dxa"/>
            <w:noWrap/>
            <w:vAlign w:val="bottom"/>
            <w:hideMark/>
          </w:tcPr>
          <w:p w14:paraId="12142972"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1963C640"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0FB2287F"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CSR</w:t>
            </w:r>
          </w:p>
        </w:tc>
        <w:tc>
          <w:tcPr>
            <w:tcW w:w="3548" w:type="dxa"/>
            <w:noWrap/>
            <w:vAlign w:val="bottom"/>
            <w:hideMark/>
          </w:tcPr>
          <w:p w14:paraId="40C85AD7"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City of Hollister</w:t>
            </w:r>
          </w:p>
        </w:tc>
        <w:tc>
          <w:tcPr>
            <w:tcW w:w="1857" w:type="dxa"/>
            <w:noWrap/>
            <w:vAlign w:val="bottom"/>
            <w:hideMark/>
          </w:tcPr>
          <w:p w14:paraId="6151C79D"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11/7/2023</w:t>
            </w:r>
          </w:p>
        </w:tc>
      </w:tr>
      <w:tr w:rsidR="00E6113B" w:rsidRPr="00E6113B" w14:paraId="7E02E275" w14:textId="77777777" w:rsidTr="00344F84">
        <w:tblPrEx>
          <w:jc w:val="left"/>
        </w:tblPrEx>
        <w:trPr>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23B95487"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17EC7944"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Humboldt County</w:t>
            </w:r>
          </w:p>
        </w:tc>
        <w:tc>
          <w:tcPr>
            <w:tcW w:w="1857" w:type="dxa"/>
            <w:noWrap/>
            <w:vAlign w:val="bottom"/>
            <w:hideMark/>
          </w:tcPr>
          <w:p w14:paraId="65F4DE59" w14:textId="77777777" w:rsidR="00E6113B" w:rsidRPr="00E6113B" w:rsidRDefault="00E6113B" w:rsidP="00344F84">
            <w:pPr>
              <w:widowControl/>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r w:rsidR="00E6113B" w:rsidRPr="00E6113B" w14:paraId="3BE7A8EB" w14:textId="77777777" w:rsidTr="00344F84">
        <w:tblPrEx>
          <w:jc w:val="left"/>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gridSpan w:val="2"/>
            <w:noWrap/>
            <w:vAlign w:val="bottom"/>
            <w:hideMark/>
          </w:tcPr>
          <w:p w14:paraId="4FB69272" w14:textId="77777777" w:rsidR="00E6113B" w:rsidRPr="00E6113B" w:rsidRDefault="00E6113B" w:rsidP="00344F84">
            <w:pPr>
              <w:widowControl/>
              <w:rPr>
                <w:rFonts w:ascii="Century Gothic" w:eastAsia="Times New Roman" w:hAnsi="Century Gothic" w:cs="Calibri"/>
                <w:b w:val="0"/>
                <w:bCs w:val="0"/>
                <w:color w:val="000000"/>
                <w:sz w:val="24"/>
                <w:szCs w:val="24"/>
              </w:rPr>
            </w:pPr>
            <w:r w:rsidRPr="00E6113B">
              <w:rPr>
                <w:rFonts w:cs="Calibri"/>
                <w:b w:val="0"/>
                <w:bCs w:val="0"/>
                <w:color w:val="000000"/>
              </w:rPr>
              <w:t>CNR</w:t>
            </w:r>
          </w:p>
        </w:tc>
        <w:tc>
          <w:tcPr>
            <w:tcW w:w="3548" w:type="dxa"/>
            <w:noWrap/>
            <w:vAlign w:val="bottom"/>
            <w:hideMark/>
          </w:tcPr>
          <w:p w14:paraId="2A1D07A4"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Del Norte County</w:t>
            </w:r>
          </w:p>
        </w:tc>
        <w:tc>
          <w:tcPr>
            <w:tcW w:w="1857" w:type="dxa"/>
            <w:noWrap/>
            <w:vAlign w:val="bottom"/>
            <w:hideMark/>
          </w:tcPr>
          <w:p w14:paraId="36BAEB75" w14:textId="77777777" w:rsidR="00E6113B" w:rsidRPr="00E6113B" w:rsidRDefault="00E6113B" w:rsidP="00344F84">
            <w:pPr>
              <w:widowControl/>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4"/>
                <w:szCs w:val="24"/>
              </w:rPr>
            </w:pPr>
            <w:r w:rsidRPr="00E6113B">
              <w:rPr>
                <w:rFonts w:cs="Calibri"/>
                <w:color w:val="000000"/>
              </w:rPr>
              <w:t>12/5/2023</w:t>
            </w:r>
          </w:p>
        </w:tc>
      </w:tr>
    </w:tbl>
    <w:p w14:paraId="64BC352C" w14:textId="77777777" w:rsidR="00146FA4" w:rsidRPr="00E6113B" w:rsidRDefault="00146FA4" w:rsidP="0035278F">
      <w:pPr>
        <w:pStyle w:val="BodyText"/>
      </w:pPr>
    </w:p>
    <w:p w14:paraId="62A469BB" w14:textId="77777777" w:rsidR="00744900" w:rsidRDefault="00744900">
      <w:pPr>
        <w:widowControl/>
        <w:rPr>
          <w:rFonts w:ascii="Century Gothic" w:eastAsia="Arial" w:hAnsi="Century Gothic"/>
          <w:b/>
          <w:bCs/>
          <w:i/>
          <w:iCs/>
          <w:sz w:val="28"/>
          <w:szCs w:val="28"/>
        </w:rPr>
      </w:pPr>
      <w:bookmarkStart w:id="43" w:name="_Toc89188570"/>
      <w:bookmarkStart w:id="44" w:name="_Hlk88149732"/>
      <w:r>
        <w:br w:type="page"/>
      </w:r>
    </w:p>
    <w:p w14:paraId="06E05973" w14:textId="6A0BD2D7" w:rsidR="00853B82" w:rsidRPr="00E6113B" w:rsidRDefault="00853B82" w:rsidP="00D10578">
      <w:pPr>
        <w:pStyle w:val="Heading1"/>
      </w:pPr>
      <w:bookmarkStart w:id="45" w:name="_Toc169083982"/>
      <w:r w:rsidRPr="00E6113B">
        <w:lastRenderedPageBreak/>
        <w:t>State Forests</w:t>
      </w:r>
      <w:bookmarkEnd w:id="45"/>
      <w:r w:rsidRPr="00E6113B">
        <w:t xml:space="preserve"> </w:t>
      </w:r>
    </w:p>
    <w:p w14:paraId="4F565630" w14:textId="0EAF2A04"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w:t>
      </w:r>
      <w:proofErr w:type="gramStart"/>
      <w:r w:rsidRPr="00E6113B">
        <w:rPr>
          <w:rFonts w:ascii="Century Gothic" w:hAnsi="Century Gothic" w:cs="Century Gothic"/>
          <w:color w:val="000000"/>
          <w:sz w:val="24"/>
          <w:szCs w:val="24"/>
        </w:rPr>
        <w:t>staffing</w:t>
      </w:r>
      <w:proofErr w:type="gramEnd"/>
      <w:r w:rsidRPr="00E6113B">
        <w:rPr>
          <w:rFonts w:ascii="Century Gothic" w:hAnsi="Century Gothic" w:cs="Century Gothic"/>
          <w:color w:val="000000"/>
          <w:sz w:val="24"/>
          <w:szCs w:val="24"/>
        </w:rPr>
        <w:t xml:space="preserve"> and increasing workload. The longer period will allow the plans to be broader, encompass longer-term changes and trends, and reduce pressure on staff.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(below) outlines the proposed schedule for management plan updates.  The Department committed to an early review of the Jackson Forest Management Plan in 2022 as part of government-to-government discussions with a local tribe.  The public process will begin in 2024 </w:t>
      </w:r>
      <w:r w:rsidR="00C30B09">
        <w:rPr>
          <w:rFonts w:ascii="Century Gothic" w:hAnsi="Century Gothic" w:cs="Century Gothic"/>
          <w:color w:val="000000"/>
          <w:sz w:val="24"/>
          <w:szCs w:val="24"/>
        </w:rPr>
        <w:t>and</w:t>
      </w:r>
      <w:r w:rsidRPr="00E6113B">
        <w:rPr>
          <w:rFonts w:ascii="Century Gothic" w:hAnsi="Century Gothic" w:cs="Century Gothic"/>
          <w:color w:val="000000"/>
          <w:sz w:val="24"/>
          <w:szCs w:val="24"/>
        </w:rPr>
        <w:t xml:space="preserve"> a Management Plan is expected to be brought to the Board in late 2025 or early 2026.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5D06E2D4" w:rsidR="00F634FC" w:rsidRPr="00E6113B" w:rsidRDefault="00C30B09" w:rsidP="00F634FC">
            <w:pPr>
              <w:widowControl/>
              <w:autoSpaceDE w:val="0"/>
              <w:autoSpaceDN w:val="0"/>
              <w:adjustRightInd w:val="0"/>
              <w:spacing w:line="256" w:lineRule="auto"/>
              <w:rPr>
                <w:rFonts w:ascii="Century Gothic" w:hAnsi="Century Gothic" w:cs="Calibri"/>
                <w:color w:val="000000"/>
                <w:sz w:val="24"/>
                <w:szCs w:val="24"/>
              </w:rPr>
            </w:pPr>
            <w:r>
              <w:br w:type="page"/>
            </w:r>
            <w:r w:rsidR="00F634FC" w:rsidRPr="00E6113B">
              <w:rPr>
                <w:rFonts w:ascii="Century Gothic" w:hAnsi="Century Gothic" w:cs="Calibri"/>
                <w:b/>
                <w:bCs/>
                <w:color w:val="000000"/>
                <w:sz w:val="24"/>
                <w:szCs w:val="24"/>
              </w:rPr>
              <w:t xml:space="preserve">Figure </w:t>
            </w:r>
            <w:r w:rsidR="00744900">
              <w:rPr>
                <w:rFonts w:ascii="Century Gothic" w:hAnsi="Century Gothic" w:cs="Calibri"/>
                <w:b/>
                <w:bCs/>
                <w:color w:val="000000"/>
                <w:sz w:val="24"/>
                <w:szCs w:val="24"/>
              </w:rPr>
              <w:t>15</w:t>
            </w:r>
            <w:r w:rsidR="00F634FC" w:rsidRPr="00E6113B">
              <w:rPr>
                <w:rFonts w:ascii="Century Gothic" w:hAnsi="Century Gothic" w:cs="Calibri"/>
                <w:b/>
                <w:bCs/>
                <w:color w:val="000000"/>
                <w:sz w:val="24"/>
                <w:szCs w:val="24"/>
              </w:rPr>
              <w:t xml:space="preserve">.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b/>
          <w:bCs/>
          <w:color w:val="000000"/>
          <w:sz w:val="24"/>
          <w:szCs w:val="24"/>
        </w:rPr>
        <w:t xml:space="preserve">Stewardship Lands </w:t>
      </w:r>
    </w:p>
    <w:p w14:paraId="3240ED91"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The Department acquired 6,982 acres in the Pit &amp; Tunnel Reservoir Planning Units in 2023.  This brings to a close the acquisition of forestlands from PG&amp;E through the Pacific Watershed Stewardship Council.  The Department now operates 14 Demonstration State Forests totaling 85,135 acres.  An updated fact sheet with the general location of each is on the State Forest website (</w:t>
      </w:r>
      <w:hyperlink r:id="rId41" w:history="1">
        <w:r w:rsidRPr="00E6113B">
          <w:rPr>
            <w:rFonts w:ascii="Century Gothic" w:hAnsi="Century Gothic" w:cs="Century Gothic"/>
            <w:color w:val="0563C1"/>
            <w:sz w:val="24"/>
            <w:szCs w:val="24"/>
            <w:u w:val="single"/>
          </w:rPr>
          <w:t>link</w:t>
        </w:r>
      </w:hyperlink>
      <w:r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1EB32EE" w14:textId="0C183D2E" w:rsidR="00853B82" w:rsidRPr="00E6113B" w:rsidRDefault="00F634FC" w:rsidP="00E13FE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w:t>
      </w:r>
    </w:p>
    <w:p w14:paraId="00236284" w14:textId="48A3E093" w:rsidR="00B21FFF" w:rsidRPr="00E6113B" w:rsidRDefault="00317D13" w:rsidP="00F3046E">
      <w:pPr>
        <w:pStyle w:val="Heading1"/>
      </w:pPr>
      <w:bookmarkStart w:id="46" w:name="_Toc169083983"/>
      <w:r w:rsidRPr="00E6113B">
        <w:t>P</w:t>
      </w:r>
      <w:r w:rsidR="00B21FFF" w:rsidRPr="00E6113B">
        <w:t>rofessional Licensing and Forest Practice Enforcement</w:t>
      </w:r>
      <w:bookmarkEnd w:id="43"/>
      <w:bookmarkEnd w:id="46"/>
    </w:p>
    <w:p w14:paraId="1EEE1C2B" w14:textId="3DD0FD3C" w:rsidR="00E46AD9" w:rsidRPr="00E6113B" w:rsidRDefault="00E46AD9" w:rsidP="00E46AD9">
      <w:pPr>
        <w:rPr>
          <w:rFonts w:ascii="Century Gothic" w:hAnsi="Century Gothic" w:cs="Calibri"/>
          <w:sz w:val="24"/>
          <w:szCs w:val="24"/>
        </w:rPr>
      </w:pPr>
      <w:r w:rsidRPr="00E6113B">
        <w:rPr>
          <w:rFonts w:ascii="Century Gothic" w:hAnsi="Century Gothic" w:cs="Calibri"/>
          <w:sz w:val="24"/>
          <w:szCs w:val="24"/>
        </w:rPr>
        <w:t xml:space="preserve">Pursuant to California Public Resources Code (PRC) § 750 </w:t>
      </w:r>
      <w:r w:rsidRPr="00E6113B">
        <w:rPr>
          <w:rFonts w:ascii="Century Gothic" w:hAnsi="Century Gothic" w:cs="Calibri"/>
          <w:i/>
          <w:iCs/>
          <w:sz w:val="24"/>
          <w:szCs w:val="24"/>
        </w:rPr>
        <w:t>et seq.</w:t>
      </w:r>
      <w:r w:rsidRPr="00E6113B">
        <w:rPr>
          <w:rFonts w:ascii="Century Gothic" w:hAnsi="Century Gothic" w:cs="Calibri"/>
          <w:i/>
          <w:sz w:val="24"/>
          <w:szCs w:val="24"/>
        </w:rPr>
        <w:t>,</w:t>
      </w:r>
      <w:r w:rsidRPr="00E6113B">
        <w:rPr>
          <w:rFonts w:ascii="Century Gothic" w:hAnsi="Century Gothic" w:cs="Calibri"/>
          <w:sz w:val="24"/>
          <w:szCs w:val="24"/>
        </w:rPr>
        <w:t xml:space="preserve"> the Board is authorized to grant licenses to Registered Professional Foresters (RPFs) and specialty certificates for Certified Rangeland Managers (CRMs). Earning either license is contingent upon meeting educational and work experience standards and ultimately passing an examination specific to the license or specialty. </w:t>
      </w:r>
    </w:p>
    <w:p w14:paraId="158FC715" w14:textId="77777777" w:rsidR="00447606" w:rsidRPr="00E6113B" w:rsidRDefault="00447606" w:rsidP="00E46AD9">
      <w:pPr>
        <w:rPr>
          <w:rFonts w:ascii="Century Gothic" w:hAnsi="Century Gothic" w:cs="Calibri"/>
          <w:sz w:val="24"/>
          <w:szCs w:val="24"/>
        </w:rPr>
      </w:pPr>
    </w:p>
    <w:p w14:paraId="44C11D7A" w14:textId="77777777" w:rsidR="00173BC8" w:rsidRPr="00E6113B" w:rsidRDefault="00E46AD9" w:rsidP="00173BC8">
      <w:pPr>
        <w:rPr>
          <w:rFonts w:ascii="Century Gothic" w:hAnsi="Century Gothic" w:cs="Calibri"/>
          <w:sz w:val="24"/>
          <w:szCs w:val="24"/>
          <w:lang w:val="en"/>
        </w:rPr>
        <w:sectPr w:rsidR="00173BC8" w:rsidRPr="00E6113B" w:rsidSect="004E4589">
          <w:footnotePr>
            <w:pos w:val="beneathText"/>
          </w:footnotePr>
          <w:pgSz w:w="12240" w:h="15840"/>
          <w:pgMar w:top="1440" w:right="720" w:bottom="1440" w:left="720" w:header="736" w:footer="1048" w:gutter="0"/>
          <w:cols w:space="720"/>
          <w:docGrid w:linePitch="299"/>
        </w:sectPr>
      </w:pPr>
      <w:r w:rsidRPr="00E6113B">
        <w:rPr>
          <w:rFonts w:ascii="Century Gothic" w:hAnsi="Century Gothic" w:cs="Calibri"/>
          <w:sz w:val="24"/>
          <w:szCs w:val="24"/>
        </w:rPr>
        <w:lastRenderedPageBreak/>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E6113B">
        <w:rPr>
          <w:rFonts w:ascii="Century Gothic" w:hAnsi="Century Gothic" w:cs="Calibri"/>
          <w:sz w:val="24"/>
          <w:szCs w:val="24"/>
          <w:lang w:val="en"/>
        </w:rPr>
        <w:t>“Certified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w:t>
      </w:r>
      <w:r w:rsidR="00173BC8" w:rsidRPr="00E6113B" w:rsidDel="00173BC8">
        <w:rPr>
          <w:rFonts w:ascii="Century Gothic" w:hAnsi="Century Gothic" w:cs="Calibri"/>
          <w:sz w:val="24"/>
          <w:szCs w:val="24"/>
          <w:lang w:val="en"/>
        </w:rPr>
        <w:t>.</w:t>
      </w:r>
      <w:r w:rsidR="00173BC8" w:rsidRPr="00E6113B">
        <w:rPr>
          <w:rFonts w:ascii="Century Gothic" w:hAnsi="Century Gothic" w:cs="Calibri"/>
          <w:sz w:val="24"/>
          <w:szCs w:val="24"/>
          <w:lang w:val="en"/>
        </w:rPr>
        <w:t xml:space="preserve"> </w:t>
      </w:r>
    </w:p>
    <w:p w14:paraId="27AB8232" w14:textId="77777777" w:rsidR="00173BC8" w:rsidRPr="00E6113B" w:rsidRDefault="00173BC8" w:rsidP="00173BC8">
      <w:pPr>
        <w:rPr>
          <w:rFonts w:ascii="Century Gothic" w:hAnsi="Century Gothic" w:cs="Calibri"/>
          <w:bCs/>
          <w:i/>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04C11180" w14:textId="637CBD85" w:rsidR="00173BC8" w:rsidRPr="00E6113B" w:rsidRDefault="00173BC8" w:rsidP="00173BC8">
      <w:pPr>
        <w:rPr>
          <w:rFonts w:ascii="Century Gothic" w:hAnsi="Century Gothic" w:cs="Calibri"/>
          <w:bCs/>
          <w:i/>
          <w:sz w:val="24"/>
          <w:szCs w:val="24"/>
        </w:rPr>
      </w:pPr>
      <w:r w:rsidRPr="00E6113B">
        <w:rPr>
          <w:rFonts w:ascii="Century Gothic" w:hAnsi="Century Gothic" w:cs="Calibri"/>
          <w:bCs/>
          <w:i/>
          <w:sz w:val="24"/>
          <w:szCs w:val="24"/>
        </w:rPr>
        <w:t xml:space="preserve">Figure </w:t>
      </w:r>
      <w:r w:rsidR="00744900">
        <w:rPr>
          <w:rFonts w:ascii="Century Gothic" w:hAnsi="Century Gothic" w:cs="Calibri"/>
          <w:bCs/>
          <w:i/>
          <w:sz w:val="24"/>
          <w:szCs w:val="24"/>
        </w:rPr>
        <w:t>16</w:t>
      </w:r>
      <w:r w:rsidRPr="00E6113B">
        <w:rPr>
          <w:rFonts w:ascii="Century Gothic" w:hAnsi="Century Gothic" w:cs="Calibri"/>
          <w:bCs/>
          <w:i/>
          <w:sz w:val="24"/>
          <w:szCs w:val="24"/>
        </w:rPr>
        <w:t>. Board Licensed Professionals and Certified Specialists</w:t>
      </w:r>
    </w:p>
    <w:p w14:paraId="7DC9048F" w14:textId="77777777" w:rsidR="00173BC8" w:rsidRPr="00E6113B" w:rsidRDefault="00173BC8" w:rsidP="00173BC8">
      <w:pPr>
        <w:rPr>
          <w:rFonts w:ascii="Century Gothic" w:hAnsi="Century Gothic" w:cs="Calibri"/>
          <w:sz w:val="24"/>
          <w:szCs w:val="24"/>
          <w:lang w:val="en"/>
        </w:rPr>
      </w:pPr>
    </w:p>
    <w:tbl>
      <w:tblPr>
        <w:tblStyle w:val="GridTable21"/>
        <w:tblW w:w="2880" w:type="dxa"/>
        <w:jc w:val="center"/>
        <w:tblInd w:w="0" w:type="dxa"/>
        <w:shd w:val="clear" w:color="auto" w:fill="FFFFFF"/>
        <w:tblLook w:val="04A0" w:firstRow="1" w:lastRow="0" w:firstColumn="1" w:lastColumn="0" w:noHBand="0" w:noVBand="1"/>
      </w:tblPr>
      <w:tblGrid>
        <w:gridCol w:w="918"/>
        <w:gridCol w:w="911"/>
        <w:gridCol w:w="1051"/>
      </w:tblGrid>
      <w:tr w:rsidR="00173BC8" w:rsidRPr="00E6113B" w14:paraId="4C34EB9A" w14:textId="77777777" w:rsidTr="006913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left w:val="nil"/>
            </w:tcBorders>
            <w:noWrap/>
            <w:hideMark/>
          </w:tcPr>
          <w:p w14:paraId="23C0DBF8"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Year</w:t>
            </w:r>
          </w:p>
        </w:tc>
        <w:tc>
          <w:tcPr>
            <w:tcW w:w="911" w:type="dxa"/>
            <w:noWrap/>
            <w:hideMark/>
          </w:tcPr>
          <w:p w14:paraId="38C3709E"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RPFs</w:t>
            </w:r>
          </w:p>
        </w:tc>
        <w:tc>
          <w:tcPr>
            <w:tcW w:w="1051" w:type="dxa"/>
            <w:tcBorders>
              <w:right w:val="nil"/>
            </w:tcBorders>
            <w:noWrap/>
            <w:hideMark/>
          </w:tcPr>
          <w:p w14:paraId="3CC427BA" w14:textId="77777777" w:rsidR="00173BC8" w:rsidRPr="00E6113B" w:rsidRDefault="00173BC8" w:rsidP="00173BC8">
            <w:pPr>
              <w:jc w:val="left"/>
              <w:cnfStyle w:val="100000000000" w:firstRow="1" w:lastRow="0" w:firstColumn="0" w:lastColumn="0" w:oddVBand="0" w:evenVBand="0" w:oddHBand="0" w:evenHBand="0" w:firstRowFirstColumn="0" w:firstRowLastColumn="0" w:lastRowFirstColumn="0" w:lastRowLastColumn="0"/>
              <w:rPr>
                <w:rFonts w:ascii="Century Gothic" w:hAnsi="Century Gothic" w:cs="Calibri"/>
                <w:b w:val="0"/>
                <w:bCs w:val="0"/>
                <w:sz w:val="24"/>
                <w:szCs w:val="24"/>
              </w:rPr>
            </w:pPr>
            <w:r w:rsidRPr="00E6113B">
              <w:rPr>
                <w:rFonts w:ascii="Century Gothic" w:hAnsi="Century Gothic" w:cs="Calibri"/>
                <w:b w:val="0"/>
                <w:bCs w:val="0"/>
                <w:sz w:val="24"/>
                <w:szCs w:val="24"/>
              </w:rPr>
              <w:t>CRMs</w:t>
            </w:r>
          </w:p>
        </w:tc>
      </w:tr>
      <w:tr w:rsidR="00173BC8" w:rsidRPr="00E6113B" w14:paraId="3559CAD8"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253F556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2018</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9BC1DD3"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1132</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0D0CD1F"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88</w:t>
            </w:r>
          </w:p>
        </w:tc>
      </w:tr>
      <w:tr w:rsidR="00173BC8" w:rsidRPr="00E6113B" w14:paraId="3E5E2F0D"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0C79D3B"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2019</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4E7B555"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1126</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82429A4"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89</w:t>
            </w:r>
          </w:p>
        </w:tc>
      </w:tr>
      <w:tr w:rsidR="00173BC8" w:rsidRPr="00E6113B" w14:paraId="50D18EE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E3FE196"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2020</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3BE057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1105</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1BE58FFD"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86</w:t>
            </w:r>
          </w:p>
        </w:tc>
      </w:tr>
      <w:tr w:rsidR="00173BC8" w:rsidRPr="00E6113B" w14:paraId="6DD23124"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12637A3A"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2021</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D54BBC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1108</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06B5217B"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81</w:t>
            </w:r>
          </w:p>
        </w:tc>
      </w:tr>
      <w:tr w:rsidR="00173BC8" w:rsidRPr="00E6113B" w14:paraId="385FFA83" w14:textId="77777777" w:rsidTr="006913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33B41A87"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2022</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1F6A8EFA"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55FBCFCE" w14:textId="77777777" w:rsidR="00173BC8" w:rsidRPr="00E6113B" w:rsidRDefault="00173BC8" w:rsidP="00173BC8">
            <w:pPr>
              <w:jc w:val="left"/>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80</w:t>
            </w:r>
          </w:p>
        </w:tc>
      </w:tr>
      <w:tr w:rsidR="00173BC8" w:rsidRPr="00E6113B" w14:paraId="62FCE525" w14:textId="77777777" w:rsidTr="00691371">
        <w:trPr>
          <w:trHeight w:val="300"/>
          <w:jc w:val="center"/>
        </w:trPr>
        <w:tc>
          <w:tcPr>
            <w:cnfStyle w:val="001000000000" w:firstRow="0" w:lastRow="0" w:firstColumn="1" w:lastColumn="0" w:oddVBand="0" w:evenVBand="0" w:oddHBand="0" w:evenHBand="0" w:firstRowFirstColumn="0" w:firstRowLastColumn="0" w:lastRowFirstColumn="0" w:lastRowLastColumn="0"/>
            <w:tcW w:w="918" w:type="dxa"/>
            <w:tcBorders>
              <w:top w:val="single" w:sz="2" w:space="0" w:color="666666"/>
              <w:left w:val="nil"/>
              <w:bottom w:val="single" w:sz="2" w:space="0" w:color="666666"/>
              <w:right w:val="single" w:sz="2" w:space="0" w:color="666666"/>
            </w:tcBorders>
            <w:shd w:val="clear" w:color="auto" w:fill="FFFFFF"/>
            <w:noWrap/>
            <w:hideMark/>
          </w:tcPr>
          <w:p w14:paraId="551A43E9" w14:textId="77777777" w:rsidR="00173BC8" w:rsidRPr="00E6113B" w:rsidRDefault="00173BC8" w:rsidP="00173BC8">
            <w:pPr>
              <w:jc w:val="left"/>
              <w:rPr>
                <w:rFonts w:ascii="Century Gothic" w:hAnsi="Century Gothic" w:cs="Calibri"/>
                <w:b w:val="0"/>
                <w:bCs w:val="0"/>
                <w:sz w:val="24"/>
                <w:szCs w:val="24"/>
              </w:rPr>
            </w:pPr>
            <w:r w:rsidRPr="00E6113B">
              <w:rPr>
                <w:rFonts w:ascii="Century Gothic" w:hAnsi="Century Gothic" w:cs="Calibri"/>
                <w:b w:val="0"/>
                <w:bCs w:val="0"/>
                <w:sz w:val="24"/>
                <w:szCs w:val="24"/>
              </w:rPr>
              <w:t>2023</w:t>
            </w:r>
          </w:p>
        </w:tc>
        <w:tc>
          <w:tcPr>
            <w:tcW w:w="91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BAC370E"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1110</w:t>
            </w:r>
          </w:p>
        </w:tc>
        <w:tc>
          <w:tcPr>
            <w:tcW w:w="1051" w:type="dxa"/>
            <w:tcBorders>
              <w:top w:val="single" w:sz="2" w:space="0" w:color="666666"/>
              <w:left w:val="single" w:sz="2" w:space="0" w:color="666666"/>
              <w:bottom w:val="single" w:sz="2" w:space="0" w:color="666666"/>
              <w:right w:val="nil"/>
            </w:tcBorders>
            <w:shd w:val="clear" w:color="auto" w:fill="FFFFFF"/>
            <w:noWrap/>
            <w:hideMark/>
          </w:tcPr>
          <w:p w14:paraId="48C90620" w14:textId="77777777" w:rsidR="00173BC8" w:rsidRPr="00E6113B" w:rsidRDefault="00173BC8" w:rsidP="00173BC8">
            <w:pPr>
              <w:jc w:val="left"/>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E6113B">
              <w:rPr>
                <w:rFonts w:ascii="Century Gothic" w:hAnsi="Century Gothic" w:cs="Calibri"/>
                <w:sz w:val="24"/>
                <w:szCs w:val="24"/>
              </w:rPr>
              <w:t>79</w:t>
            </w:r>
          </w:p>
        </w:tc>
      </w:tr>
    </w:tbl>
    <w:p w14:paraId="1AEFAF62" w14:textId="77777777" w:rsidR="00173BC8" w:rsidRPr="00E6113B" w:rsidRDefault="00173BC8" w:rsidP="00173BC8">
      <w:pPr>
        <w:rPr>
          <w:rFonts w:ascii="Century Gothic" w:hAnsi="Century Gothic" w:cs="Calibri"/>
          <w:sz w:val="24"/>
          <w:szCs w:val="24"/>
          <w:lang w:val="en"/>
        </w:rPr>
      </w:pPr>
    </w:p>
    <w:p w14:paraId="78280E80" w14:textId="77777777" w:rsidR="00173BC8" w:rsidRPr="00E6113B" w:rsidRDefault="00173BC8" w:rsidP="00173BC8">
      <w:pPr>
        <w:rPr>
          <w:rFonts w:ascii="Century Gothic" w:hAnsi="Century Gothic" w:cs="Calibri"/>
          <w:b/>
          <w:iCs/>
          <w:sz w:val="24"/>
          <w:szCs w:val="24"/>
        </w:rPr>
      </w:pPr>
    </w:p>
    <w:p w14:paraId="33C144C7" w14:textId="77777777" w:rsidR="00173BC8" w:rsidRPr="00E6113B" w:rsidRDefault="00173BC8" w:rsidP="00173BC8">
      <w:pPr>
        <w:rPr>
          <w:rFonts w:ascii="Century Gothic" w:hAnsi="Century Gothic" w:cs="Calibri"/>
          <w:b/>
          <w:iCs/>
          <w:sz w:val="24"/>
          <w:szCs w:val="24"/>
        </w:rPr>
      </w:pPr>
      <w:r w:rsidRPr="00E6113B">
        <w:rPr>
          <w:rFonts w:ascii="Century Gothic" w:hAnsi="Century Gothic" w:cs="Calibri"/>
          <w:b/>
          <w:iCs/>
          <w:sz w:val="24"/>
          <w:szCs w:val="24"/>
        </w:rPr>
        <w:t>Professional Discipline</w:t>
      </w:r>
    </w:p>
    <w:p w14:paraId="18785EF0" w14:textId="77777777" w:rsidR="00173BC8" w:rsidRPr="00E6113B" w:rsidRDefault="00173BC8" w:rsidP="00173BC8">
      <w:pPr>
        <w:rPr>
          <w:rFonts w:ascii="Century Gothic" w:hAnsi="Century Gothic" w:cs="Calibri"/>
          <w:b/>
          <w:iCs/>
          <w:sz w:val="24"/>
          <w:szCs w:val="24"/>
        </w:rPr>
      </w:pPr>
    </w:p>
    <w:p w14:paraId="261E8B52" w14:textId="1FBD8EE2"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Professional disciplinary matters are confidential. They are handled administratively and generally do not culminate in a hearing before an Administrative Law Judge and/or the Board. In 2023, the PFEC received three RPF complaints. For case 346, the allegations of failure of professional responsibility were not sustained and a confidential letter of concern was sent to the respondent RPF. For Case 348, the allegations of failure of professional responsibility were dismissed and the case closed. Case 347 remains under review by the PFEC.</w:t>
      </w:r>
    </w:p>
    <w:p w14:paraId="58B735CF"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p>
    <w:p w14:paraId="2E21F671" w14:textId="77777777" w:rsidR="00173BC8" w:rsidRPr="00E6113B" w:rsidRDefault="00173BC8" w:rsidP="00173BC8">
      <w:pPr>
        <w:rPr>
          <w:rFonts w:ascii="Century Gothic" w:hAnsi="Century Gothic" w:cs="Calibri"/>
          <w:b/>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
          <w:bCs/>
          <w:iCs/>
          <w:sz w:val="24"/>
          <w:szCs w:val="24"/>
        </w:rPr>
        <w:t>Enforcement</w:t>
      </w:r>
    </w:p>
    <w:p w14:paraId="03B7B5F4" w14:textId="77777777" w:rsidR="00173BC8" w:rsidRPr="00E6113B" w:rsidRDefault="00173BC8" w:rsidP="00173BC8">
      <w:pPr>
        <w:rPr>
          <w:rFonts w:ascii="Century Gothic" w:hAnsi="Century Gothic" w:cs="Calibri"/>
          <w:b/>
          <w:bCs/>
          <w:iCs/>
          <w:sz w:val="24"/>
          <w:szCs w:val="24"/>
        </w:rPr>
      </w:pPr>
    </w:p>
    <w:p w14:paraId="5CDECC17" w14:textId="7D1BE4F3" w:rsidR="00173BC8" w:rsidRPr="00E6113B" w:rsidRDefault="00173BC8" w:rsidP="00173BC8">
      <w:pPr>
        <w:rPr>
          <w:rFonts w:ascii="Century Gothic" w:hAnsi="Century Gothic" w:cs="Calibri"/>
          <w:bCs/>
          <w:iCs/>
          <w:sz w:val="24"/>
          <w:szCs w:val="24"/>
        </w:rPr>
        <w:sectPr w:rsidR="00173BC8" w:rsidRPr="00E6113B" w:rsidSect="004E4589">
          <w:footnotePr>
            <w:pos w:val="beneathText"/>
          </w:footnotePr>
          <w:type w:val="continuous"/>
          <w:pgSz w:w="12240" w:h="15840"/>
          <w:pgMar w:top="1440" w:right="720" w:bottom="1440" w:left="720" w:header="736" w:footer="1048" w:gutter="0"/>
          <w:cols w:space="720"/>
          <w:docGrid w:linePitch="299"/>
        </w:sectPr>
      </w:pPr>
      <w:r w:rsidRPr="00E6113B">
        <w:rPr>
          <w:rFonts w:ascii="Century Gothic" w:hAnsi="Century Gothic" w:cs="Calibri"/>
          <w:bCs/>
          <w:iCs/>
          <w:sz w:val="24"/>
          <w:szCs w:val="24"/>
        </w:rPr>
        <w:t xml:space="preserve">PRC § 4601 </w:t>
      </w:r>
      <w:r w:rsidRPr="00E6113B">
        <w:rPr>
          <w:rFonts w:ascii="Century Gothic" w:hAnsi="Century Gothic" w:cs="Calibri"/>
          <w:bCs/>
          <w:i/>
          <w:iCs/>
          <w:sz w:val="24"/>
          <w:szCs w:val="24"/>
        </w:rPr>
        <w:t>et seq.</w:t>
      </w:r>
      <w:r w:rsidRPr="00E6113B">
        <w:rPr>
          <w:rFonts w:ascii="Century Gothic" w:hAnsi="Century Gothic" w:cs="Calibri"/>
          <w:bCs/>
          <w:iCs/>
          <w:sz w:val="24"/>
          <w:szCs w:val="24"/>
        </w:rPr>
        <w:t xml:space="preserve"> authorizes the Board to investigate and discipline, “Any person who willfully violates any provision of this chapter or rule or regulation of the Board….” These civil penalties are identified, investigated, and pursued by CAL FIRE, with final adjudicative authority on these matters residing with the Board. During the 202</w:t>
      </w:r>
      <w:r w:rsidR="00F3046E" w:rsidRPr="00E6113B">
        <w:rPr>
          <w:rFonts w:ascii="Century Gothic" w:hAnsi="Century Gothic" w:cs="Calibri"/>
          <w:bCs/>
          <w:iCs/>
          <w:sz w:val="24"/>
          <w:szCs w:val="24"/>
        </w:rPr>
        <w:t>3</w:t>
      </w:r>
      <w:r w:rsidRPr="00E6113B">
        <w:rPr>
          <w:rFonts w:ascii="Century Gothic" w:hAnsi="Century Gothic" w:cs="Calibri"/>
          <w:bCs/>
          <w:iCs/>
          <w:sz w:val="24"/>
          <w:szCs w:val="24"/>
        </w:rPr>
        <w:t xml:space="preserve"> calendar year, the Board deliberated and acted on </w:t>
      </w:r>
      <w:r w:rsidR="00F3046E" w:rsidRPr="00E6113B">
        <w:rPr>
          <w:rFonts w:ascii="Century Gothic" w:hAnsi="Century Gothic" w:cs="Calibri"/>
          <w:bCs/>
          <w:iCs/>
          <w:sz w:val="24"/>
          <w:szCs w:val="24"/>
        </w:rPr>
        <w:t>two</w:t>
      </w:r>
      <w:r w:rsidRPr="00E6113B">
        <w:rPr>
          <w:rFonts w:ascii="Century Gothic" w:hAnsi="Century Gothic" w:cs="Calibri"/>
          <w:bCs/>
          <w:iCs/>
          <w:sz w:val="24"/>
          <w:szCs w:val="24"/>
        </w:rPr>
        <w:t xml:space="preserve"> civil penalties for non-compliance with the Forest Practice Act and/or the Forest Practice Rules.</w:t>
      </w:r>
    </w:p>
    <w:p w14:paraId="027B19C2" w14:textId="5E1DBE0D" w:rsidR="00432960" w:rsidRPr="00E6113B" w:rsidRDefault="00432960" w:rsidP="00E46AD9">
      <w:pPr>
        <w:rPr>
          <w:rFonts w:ascii="Century Gothic" w:hAnsi="Century Gothic" w:cs="Calibri"/>
          <w:sz w:val="24"/>
          <w:szCs w:val="24"/>
          <w:lang w:val="en"/>
        </w:rPr>
        <w:sectPr w:rsidR="00432960" w:rsidRPr="00E6113B" w:rsidSect="004E4589">
          <w:footnotePr>
            <w:pos w:val="beneathText"/>
          </w:footnotePr>
          <w:pgSz w:w="12240" w:h="15840"/>
          <w:pgMar w:top="1440" w:right="720" w:bottom="1440" w:left="720" w:header="736" w:footer="1048" w:gutter="0"/>
          <w:cols w:space="720"/>
          <w:docGrid w:linePitch="299"/>
        </w:sectPr>
      </w:pPr>
    </w:p>
    <w:p w14:paraId="0D1B75A8" w14:textId="77777777" w:rsidR="00432960" w:rsidRPr="00E6113B" w:rsidRDefault="00432960" w:rsidP="00E46AD9">
      <w:pPr>
        <w:rPr>
          <w:rFonts w:ascii="Century Gothic" w:hAnsi="Century Gothic" w:cs="Calibri"/>
          <w:sz w:val="24"/>
          <w:szCs w:val="24"/>
          <w:lang w:val="en"/>
        </w:rPr>
        <w:sectPr w:rsidR="00432960" w:rsidRPr="00E6113B" w:rsidSect="004E4589">
          <w:footnotePr>
            <w:pos w:val="beneathText"/>
          </w:footnotePr>
          <w:type w:val="continuous"/>
          <w:pgSz w:w="12240" w:h="15840"/>
          <w:pgMar w:top="1440" w:right="720" w:bottom="1440" w:left="720" w:header="736" w:footer="1048" w:gutter="0"/>
          <w:cols w:space="720"/>
          <w:docGrid w:linePitch="299"/>
        </w:sectPr>
      </w:pPr>
    </w:p>
    <w:p w14:paraId="39271083" w14:textId="3BB3D9C9" w:rsidR="00830D74" w:rsidRPr="00E6113B" w:rsidRDefault="00830D74" w:rsidP="00F3046E">
      <w:pPr>
        <w:pStyle w:val="Heading1"/>
      </w:pPr>
      <w:bookmarkStart w:id="47" w:name="_Toc89188571"/>
      <w:bookmarkStart w:id="48" w:name="_Toc169083984"/>
      <w:bookmarkEnd w:id="44"/>
      <w:r w:rsidRPr="00E6113B">
        <w:t>Acronyms</w:t>
      </w:r>
      <w:bookmarkEnd w:id="47"/>
      <w:bookmarkEnd w:id="48"/>
    </w:p>
    <w:p w14:paraId="2AB15253" w14:textId="77777777" w:rsidR="00830D74" w:rsidRPr="00E6113B" w:rsidRDefault="00830D74" w:rsidP="0035278F">
      <w:pPr>
        <w:pStyle w:val="BodyText"/>
      </w:pPr>
      <w:r w:rsidRPr="00E6113B">
        <w:t>The following acronyms and abbreviations are used in this document:</w:t>
      </w:r>
    </w:p>
    <w:p w14:paraId="6FB000BB" w14:textId="77777777" w:rsidR="00830D74" w:rsidRPr="00E6113B" w:rsidRDefault="00830D74" w:rsidP="0035278F">
      <w:pPr>
        <w:pStyle w:val="BodyText"/>
      </w:pPr>
      <w:r w:rsidRPr="00E6113B">
        <w:t>APA: Administrative Procedure Act</w:t>
      </w:r>
    </w:p>
    <w:p w14:paraId="4E190A2E" w14:textId="77777777" w:rsidR="00830D74" w:rsidRPr="00E6113B" w:rsidRDefault="00830D74" w:rsidP="0035278F">
      <w:pPr>
        <w:pStyle w:val="BodyText"/>
      </w:pPr>
      <w:r w:rsidRPr="00E6113B">
        <w:t>Board: California State Board of Forestry and Fire Protection</w:t>
      </w:r>
    </w:p>
    <w:p w14:paraId="31A8777B" w14:textId="77777777" w:rsidR="00830D74" w:rsidRPr="00E6113B" w:rsidRDefault="00830D74" w:rsidP="0035278F">
      <w:pPr>
        <w:pStyle w:val="BodyText"/>
      </w:pPr>
      <w:r w:rsidRPr="00E6113B">
        <w:t>CalEPA: California Environmental Protection Agency</w:t>
      </w:r>
    </w:p>
    <w:p w14:paraId="26FC6B53" w14:textId="77777777" w:rsidR="00830D74" w:rsidRPr="00E6113B" w:rsidRDefault="00830D74" w:rsidP="0035278F">
      <w:pPr>
        <w:pStyle w:val="BodyText"/>
      </w:pPr>
      <w:r w:rsidRPr="00E6113B">
        <w:t>CAL FIRE: California Department of Forestry and Fire Protection</w:t>
      </w:r>
    </w:p>
    <w:p w14:paraId="3CAE0720" w14:textId="77777777" w:rsidR="00830D74" w:rsidRPr="00E6113B" w:rsidRDefault="00830D74" w:rsidP="0035278F">
      <w:pPr>
        <w:pStyle w:val="BodyText"/>
      </w:pPr>
      <w:r w:rsidRPr="00E6113B">
        <w:t>CalVTP: California Vegetation Treatment Program</w:t>
      </w:r>
    </w:p>
    <w:p w14:paraId="30C8D9DD" w14:textId="4E5D9120" w:rsidR="006B5D1C" w:rsidRPr="00E6113B" w:rsidRDefault="006B5D1C" w:rsidP="0035278F">
      <w:pPr>
        <w:pStyle w:val="BodyText"/>
      </w:pPr>
      <w:r w:rsidRPr="00E6113B">
        <w:t>CDTFA: California Department of Tax and Fee Administration</w:t>
      </w:r>
    </w:p>
    <w:p w14:paraId="7B542466" w14:textId="1D0DAD94" w:rsidR="00830D74" w:rsidRPr="00E6113B" w:rsidRDefault="00830D74" w:rsidP="0035278F">
      <w:pPr>
        <w:pStyle w:val="BodyText"/>
      </w:pPr>
      <w:r w:rsidRPr="00E6113B">
        <w:t>CEQA: California Environmental Quality Act</w:t>
      </w:r>
    </w:p>
    <w:p w14:paraId="66054BB9" w14:textId="77777777" w:rsidR="00830D74" w:rsidRPr="00E6113B" w:rsidRDefault="00830D74" w:rsidP="0035278F">
      <w:pPr>
        <w:pStyle w:val="BodyText"/>
      </w:pPr>
      <w:r w:rsidRPr="00E6113B">
        <w:t>CFIP: California Forest Improvement Program</w:t>
      </w:r>
    </w:p>
    <w:p w14:paraId="7436DCFC" w14:textId="77777777" w:rsidR="00830D74" w:rsidRPr="00E6113B" w:rsidRDefault="00830D74" w:rsidP="0035278F">
      <w:pPr>
        <w:pStyle w:val="BodyText"/>
      </w:pPr>
      <w:r w:rsidRPr="00E6113B">
        <w:t>CLFA: California Licensed Foresters Association</w:t>
      </w:r>
    </w:p>
    <w:p w14:paraId="77C89526" w14:textId="77777777" w:rsidR="00830D74" w:rsidRPr="00E6113B" w:rsidRDefault="00830D74" w:rsidP="0035278F">
      <w:pPr>
        <w:pStyle w:val="BodyText"/>
      </w:pPr>
      <w:r w:rsidRPr="00E6113B">
        <w:t>CRM: Certified Rangeland Manager</w:t>
      </w:r>
    </w:p>
    <w:p w14:paraId="650EB855" w14:textId="77777777" w:rsidR="00830D74" w:rsidRPr="00E6113B" w:rsidRDefault="00830D74" w:rsidP="0035278F">
      <w:pPr>
        <w:pStyle w:val="BodyText"/>
      </w:pPr>
      <w:r w:rsidRPr="00E6113B">
        <w:t>DWR: California Department of Water Resources</w:t>
      </w:r>
    </w:p>
    <w:p w14:paraId="00C27384" w14:textId="77777777" w:rsidR="00830D74" w:rsidRPr="00E6113B" w:rsidRDefault="00830D74" w:rsidP="0035278F">
      <w:pPr>
        <w:pStyle w:val="BodyText"/>
      </w:pPr>
      <w:r w:rsidRPr="00E6113B">
        <w:t>EMC: Effectiveness Monitoring Committee</w:t>
      </w:r>
    </w:p>
    <w:p w14:paraId="3ED6523D" w14:textId="77777777" w:rsidR="00830D74" w:rsidRPr="00E6113B" w:rsidRDefault="00830D74" w:rsidP="0035278F">
      <w:pPr>
        <w:pStyle w:val="BodyText"/>
      </w:pPr>
      <w:r w:rsidRPr="00E6113B">
        <w:t>FCAT: Forest Climate Action Team</w:t>
      </w:r>
    </w:p>
    <w:p w14:paraId="3F1DCC59" w14:textId="77777777" w:rsidR="00830D74" w:rsidRPr="00E6113B" w:rsidRDefault="00830D74" w:rsidP="0035278F">
      <w:pPr>
        <w:pStyle w:val="BodyText"/>
      </w:pPr>
      <w:r w:rsidRPr="00E6113B">
        <w:t>FPA: Z’berg-Nejedly Forest Practice Act of 1973</w:t>
      </w:r>
    </w:p>
    <w:p w14:paraId="75353DA2" w14:textId="77777777" w:rsidR="00830D74" w:rsidRPr="00E6113B" w:rsidRDefault="00830D74" w:rsidP="0035278F">
      <w:pPr>
        <w:pStyle w:val="BodyText"/>
      </w:pPr>
      <w:r w:rsidRPr="00E6113B">
        <w:t>FPRs: Forest Practice Rules</w:t>
      </w:r>
    </w:p>
    <w:p w14:paraId="168A5EC0" w14:textId="77777777" w:rsidR="00830D74" w:rsidRPr="00E6113B" w:rsidRDefault="00830D74" w:rsidP="0035278F">
      <w:pPr>
        <w:pStyle w:val="BodyText"/>
      </w:pPr>
      <w:r w:rsidRPr="00E6113B">
        <w:t>FRAP: Fire and Resource Assessment Program</w:t>
      </w:r>
    </w:p>
    <w:p w14:paraId="556198A2" w14:textId="77777777" w:rsidR="00830D74" w:rsidRPr="00E6113B" w:rsidRDefault="00830D74" w:rsidP="0035278F">
      <w:pPr>
        <w:pStyle w:val="BodyText"/>
      </w:pPr>
      <w:r w:rsidRPr="00E6113B">
        <w:t>FRID: Fire Return Interval Departure</w:t>
      </w:r>
    </w:p>
    <w:p w14:paraId="1C295120" w14:textId="77777777" w:rsidR="00830D74" w:rsidRPr="00E6113B" w:rsidRDefault="00830D74" w:rsidP="0035278F">
      <w:pPr>
        <w:pStyle w:val="BodyText"/>
      </w:pPr>
      <w:r w:rsidRPr="00E6113B">
        <w:t>LRA: Local Responsibility Area</w:t>
      </w:r>
    </w:p>
    <w:p w14:paraId="7819FD08" w14:textId="77777777" w:rsidR="00830D74" w:rsidRPr="00E6113B" w:rsidRDefault="00830D74" w:rsidP="0035278F">
      <w:pPr>
        <w:pStyle w:val="BodyText"/>
      </w:pPr>
      <w:r w:rsidRPr="00E6113B">
        <w:t>NTMP: Nonindustrial Timber Management Plan</w:t>
      </w:r>
    </w:p>
    <w:p w14:paraId="180D15E4" w14:textId="77777777" w:rsidR="00830D74" w:rsidRPr="00E6113B" w:rsidRDefault="00830D74" w:rsidP="0035278F">
      <w:pPr>
        <w:pStyle w:val="BodyText"/>
      </w:pPr>
      <w:r w:rsidRPr="00E6113B">
        <w:t>OAL: Office of Administrative Law</w:t>
      </w:r>
    </w:p>
    <w:p w14:paraId="490D9A94" w14:textId="77777777" w:rsidR="00830D74" w:rsidRPr="00E6113B" w:rsidRDefault="00830D74" w:rsidP="0035278F">
      <w:pPr>
        <w:pStyle w:val="BodyText"/>
      </w:pPr>
      <w:r w:rsidRPr="00E6113B">
        <w:t>PG&amp;E: Pacific Gas &amp; Electric</w:t>
      </w:r>
    </w:p>
    <w:p w14:paraId="29EFF5EF" w14:textId="77777777" w:rsidR="00830D74" w:rsidRPr="00E6113B" w:rsidRDefault="00830D74" w:rsidP="0035278F">
      <w:pPr>
        <w:pStyle w:val="BodyText"/>
      </w:pPr>
      <w:r w:rsidRPr="00E6113B">
        <w:t>PEIR: Program Environmental Impact Report</w:t>
      </w:r>
    </w:p>
    <w:p w14:paraId="75BAA750" w14:textId="77777777" w:rsidR="00830D74" w:rsidRPr="00E6113B" w:rsidRDefault="00830D74" w:rsidP="0035278F">
      <w:pPr>
        <w:pStyle w:val="BodyText"/>
      </w:pPr>
      <w:r w:rsidRPr="00E6113B">
        <w:t>PFEC: Professional Foresters Examining Committee</w:t>
      </w:r>
    </w:p>
    <w:p w14:paraId="14B1B1EF" w14:textId="77777777" w:rsidR="00830D74" w:rsidRPr="00E6113B" w:rsidRDefault="00830D74" w:rsidP="0035278F">
      <w:pPr>
        <w:pStyle w:val="BodyText"/>
      </w:pPr>
      <w:r w:rsidRPr="00E6113B">
        <w:t>RMAC: Range Management Advisory Committee</w:t>
      </w:r>
    </w:p>
    <w:p w14:paraId="0003D9B2" w14:textId="77777777" w:rsidR="00830D74" w:rsidRPr="00E6113B" w:rsidRDefault="00830D74" w:rsidP="0035278F">
      <w:pPr>
        <w:pStyle w:val="BodyText"/>
      </w:pPr>
      <w:r w:rsidRPr="00E6113B">
        <w:t>RPF: Registered Professional Forester</w:t>
      </w:r>
    </w:p>
    <w:p w14:paraId="129B0F17" w14:textId="77777777" w:rsidR="00830D74" w:rsidRPr="00E6113B" w:rsidRDefault="00830D74" w:rsidP="0035278F">
      <w:pPr>
        <w:pStyle w:val="BodyText"/>
      </w:pPr>
      <w:r w:rsidRPr="00E6113B">
        <w:t>SRA: State Responsibility Area</w:t>
      </w:r>
    </w:p>
    <w:p w14:paraId="619E9EA3" w14:textId="77777777" w:rsidR="00830D74" w:rsidRPr="00E6113B" w:rsidRDefault="00830D74" w:rsidP="0035278F">
      <w:pPr>
        <w:pStyle w:val="BodyText"/>
      </w:pPr>
      <w:r w:rsidRPr="00E6113B">
        <w:t>SYP: Sustained Yield Plan</w:t>
      </w:r>
    </w:p>
    <w:p w14:paraId="1D38BB08" w14:textId="77777777" w:rsidR="00830D74" w:rsidRPr="00E6113B" w:rsidRDefault="00830D74" w:rsidP="0035278F">
      <w:pPr>
        <w:pStyle w:val="BodyText"/>
      </w:pPr>
      <w:r w:rsidRPr="00E6113B">
        <w:t>UCANR: University of California Agriculture and Natural Resources</w:t>
      </w:r>
    </w:p>
    <w:p w14:paraId="246BDB9A" w14:textId="77777777" w:rsidR="00830D74" w:rsidRPr="00E6113B" w:rsidRDefault="00830D74" w:rsidP="0035278F">
      <w:pPr>
        <w:pStyle w:val="BodyText"/>
      </w:pPr>
      <w:r w:rsidRPr="00E6113B">
        <w:t>USDM: United States Drought Monitor</w:t>
      </w:r>
    </w:p>
    <w:p w14:paraId="58D4778A" w14:textId="77777777" w:rsidR="00830D74" w:rsidRPr="00E6113B" w:rsidRDefault="00830D74" w:rsidP="0035278F">
      <w:pPr>
        <w:pStyle w:val="BodyText"/>
      </w:pPr>
      <w:r w:rsidRPr="00E6113B">
        <w:t>USFS: United States Forest Service</w:t>
      </w:r>
    </w:p>
    <w:p w14:paraId="69FAC5BE" w14:textId="77777777" w:rsidR="00830D74" w:rsidRPr="00E6113B" w:rsidRDefault="00830D74" w:rsidP="0035278F">
      <w:pPr>
        <w:pStyle w:val="BodyText"/>
      </w:pPr>
      <w:r w:rsidRPr="00E6113B">
        <w:t>VHFHSZ: Very High Fire Hazard Severity Zone</w:t>
      </w:r>
    </w:p>
    <w:p w14:paraId="5480F758" w14:textId="77777777" w:rsidR="00830D74" w:rsidRPr="00E6113B" w:rsidRDefault="00830D74" w:rsidP="0035278F">
      <w:pPr>
        <w:pStyle w:val="BodyText"/>
      </w:pPr>
      <w:r w:rsidRPr="00E6113B">
        <w:t>WFMP: Working Forest Management Plan</w:t>
      </w:r>
    </w:p>
    <w:p w14:paraId="729DC554" w14:textId="77777777" w:rsidR="00830D74" w:rsidRPr="00E6113B" w:rsidRDefault="00830D74" w:rsidP="0035278F">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F3046E">
      <w:pPr>
        <w:pStyle w:val="Heading1"/>
      </w:pPr>
      <w:bookmarkStart w:id="49" w:name="_Toc89188572"/>
      <w:bookmarkStart w:id="50" w:name="_Toc169083985"/>
      <w:r w:rsidRPr="00E6113B">
        <w:lastRenderedPageBreak/>
        <w:t>Works Cited</w:t>
      </w:r>
      <w:bookmarkEnd w:id="49"/>
      <w:bookmarkEnd w:id="50"/>
    </w:p>
    <w:p w14:paraId="3950216D" w14:textId="5D6F34C9" w:rsidR="00D43ABB" w:rsidRPr="00E6113B" w:rsidRDefault="00D43ABB" w:rsidP="00425543">
      <w:pPr>
        <w:keepLines/>
        <w:spacing w:after="240"/>
        <w:rPr>
          <w:rFonts w:ascii="Century Gothic" w:hAnsi="Century Gothic"/>
          <w:sz w:val="24"/>
          <w:szCs w:val="24"/>
        </w:rPr>
      </w:pPr>
      <w:r w:rsidRPr="00E6113B">
        <w:rPr>
          <w:rFonts w:ascii="Century Gothic" w:hAnsi="Century Gothic"/>
          <w:sz w:val="24"/>
          <w:szCs w:val="24"/>
        </w:rPr>
        <w:t xml:space="preserve">Aines, R.D., and McCoy, S.T. 2018. Making Negative Emissions Economically Feasible: The View from California. </w:t>
      </w:r>
      <w:r w:rsidRPr="00E6113B">
        <w:rPr>
          <w:rFonts w:ascii="Century Gothic" w:hAnsi="Century Gothic"/>
          <w:i/>
          <w:iCs/>
          <w:sz w:val="24"/>
          <w:szCs w:val="24"/>
        </w:rPr>
        <w:t>Lawrence Livermore National Laboratory.</w:t>
      </w:r>
      <w:r w:rsidRPr="00E6113B">
        <w:rPr>
          <w:rFonts w:ascii="Century Gothic" w:hAnsi="Century Gothic"/>
          <w:sz w:val="24"/>
          <w:szCs w:val="24"/>
        </w:rPr>
        <w:t xml:space="preserve"> Online at: </w:t>
      </w:r>
      <w:hyperlink r:id="rId42" w:history="1">
        <w:r w:rsidRPr="00E6113B">
          <w:rPr>
            <w:rFonts w:ascii="Century Gothic" w:hAnsi="Century Gothic"/>
            <w:color w:val="0000FF"/>
            <w:sz w:val="24"/>
            <w:szCs w:val="24"/>
            <w:u w:val="single"/>
          </w:rPr>
          <w:t>https://www.osti.gov/servlets/purl/1459143</w:t>
        </w:r>
      </w:hyperlink>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43"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44"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3A6A7924" w14:textId="44DF726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45" w:history="1">
        <w:r w:rsidR="00F06CC5" w:rsidRPr="00970377">
          <w:rPr>
            <w:rStyle w:val="Hyperlink"/>
            <w:rFonts w:ascii="Century Gothic" w:hAnsi="Century Gothic"/>
          </w:rPr>
          <w:t>https://bof.fire.ca.gov/media/tebleryj/6-emc-2019-003-project-update_ada.pdf. Accessed 07 December 2022</w:t>
        </w:r>
      </w:hyperlink>
      <w:r w:rsidRPr="00E6113B">
        <w:rPr>
          <w:rFonts w:ascii="Century Gothic" w:hAnsi="Century Gothic"/>
        </w:rPr>
        <w:t>.</w:t>
      </w:r>
    </w:p>
    <w:p w14:paraId="061A79FA" w14:textId="1B14FE13" w:rsidR="00F06CC5" w:rsidRPr="00E6113B" w:rsidRDefault="00F06CC5" w:rsidP="00F06CC5">
      <w:pPr>
        <w:pStyle w:val="Default"/>
        <w:spacing w:after="240"/>
        <w:ind w:left="720" w:hanging="720"/>
        <w:rPr>
          <w:rFonts w:ascii="Century Gothic" w:hAnsi="Century Gothic"/>
        </w:rPr>
      </w:pPr>
      <w:r>
        <w:rPr>
          <w:rFonts w:ascii="Century Gothic" w:hAnsi="Century Gothic"/>
        </w:rPr>
        <w:t>B</w:t>
      </w:r>
      <w:r w:rsidRPr="00F06CC5">
        <w:rPr>
          <w:rFonts w:ascii="Century Gothic" w:hAnsi="Century Gothic"/>
        </w:rPr>
        <w:t>randow, C.A. and P.H. Cafferata. 2014. Forest Practice Rules Implementation and Effectiveness Monitoring (FORPRIEM) Program: monitoring results from 2008 through 2013. Monitoring Study Group Report prepared for the California State Board of Forestry and Fire Protection. Sacramento, CA. 121 p. plus Appendix.</w:t>
      </w:r>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46" w:history="1">
        <w:r w:rsidR="000E1600" w:rsidRPr="00E6113B">
          <w:rPr>
            <w:rFonts w:ascii="Century Gothic" w:hAnsi="Century Gothic"/>
            <w:color w:val="0000FF"/>
            <w:sz w:val="24"/>
            <w:szCs w:val="24"/>
            <w:u w:val="single"/>
          </w:rPr>
          <w:t>https://www.cdfa.ca.gov/statistics/PDFs/2017-18AgReport.pdf</w:t>
        </w:r>
      </w:hyperlink>
    </w:p>
    <w:p w14:paraId="13E04D78" w14:textId="15A06676" w:rsidR="00245536" w:rsidRPr="00E6113B" w:rsidRDefault="00245536" w:rsidP="00425543">
      <w:pPr>
        <w:keepLines/>
        <w:spacing w:after="240"/>
        <w:rPr>
          <w:rFonts w:ascii="Century Gothic" w:hAnsi="Century Gothic"/>
          <w:sz w:val="24"/>
          <w:szCs w:val="24"/>
        </w:rPr>
      </w:pPr>
      <w:r w:rsidRPr="00E6113B">
        <w:rPr>
          <w:rFonts w:ascii="Century Gothic" w:hAnsi="Century Gothic"/>
          <w:sz w:val="24"/>
          <w:szCs w:val="24"/>
        </w:rPr>
        <w:t>California Department of Water Resources (DWR). 20</w:t>
      </w:r>
      <w:r w:rsidR="00011181" w:rsidRPr="00E6113B">
        <w:rPr>
          <w:rFonts w:ascii="Century Gothic" w:hAnsi="Century Gothic"/>
          <w:sz w:val="24"/>
          <w:szCs w:val="24"/>
        </w:rPr>
        <w:t>2</w:t>
      </w:r>
      <w:r w:rsidR="007E3E1F" w:rsidRPr="00E6113B">
        <w:rPr>
          <w:rFonts w:ascii="Century Gothic" w:hAnsi="Century Gothic"/>
          <w:sz w:val="24"/>
          <w:szCs w:val="24"/>
        </w:rPr>
        <w:t>2</w:t>
      </w:r>
      <w:r w:rsidR="00262D91" w:rsidRPr="00E6113B">
        <w:rPr>
          <w:rFonts w:ascii="Century Gothic" w:hAnsi="Century Gothic"/>
          <w:sz w:val="24"/>
          <w:szCs w:val="24"/>
        </w:rPr>
        <w:t>a</w:t>
      </w:r>
      <w:r w:rsidRPr="00E6113B">
        <w:rPr>
          <w:rFonts w:ascii="Century Gothic" w:hAnsi="Century Gothic"/>
          <w:sz w:val="24"/>
          <w:szCs w:val="24"/>
        </w:rPr>
        <w:t xml:space="preserve">. California Data Exchange Center: Snow Water Equivalent (inches). Last accessed </w:t>
      </w:r>
      <w:r w:rsidR="007E3E1F" w:rsidRPr="00E6113B">
        <w:rPr>
          <w:rFonts w:ascii="Century Gothic" w:hAnsi="Century Gothic"/>
          <w:sz w:val="24"/>
          <w:szCs w:val="24"/>
        </w:rPr>
        <w:t>January</w:t>
      </w:r>
      <w:r w:rsidRPr="00E6113B">
        <w:rPr>
          <w:rFonts w:ascii="Century Gothic" w:hAnsi="Century Gothic"/>
          <w:sz w:val="24"/>
          <w:szCs w:val="24"/>
        </w:rPr>
        <w:t xml:space="preserve"> </w:t>
      </w:r>
      <w:r w:rsidR="007E3E1F" w:rsidRPr="00E6113B">
        <w:rPr>
          <w:rFonts w:ascii="Century Gothic" w:hAnsi="Century Gothic"/>
          <w:sz w:val="24"/>
          <w:szCs w:val="24"/>
        </w:rPr>
        <w:t>6</w:t>
      </w:r>
      <w:r w:rsidRPr="00E6113B">
        <w:rPr>
          <w:rFonts w:ascii="Century Gothic" w:hAnsi="Century Gothic"/>
          <w:sz w:val="24"/>
          <w:szCs w:val="24"/>
        </w:rPr>
        <w:t xml:space="preserve">, </w:t>
      </w:r>
      <w:r w:rsidR="007E3E1F" w:rsidRPr="00E6113B">
        <w:rPr>
          <w:rFonts w:ascii="Century Gothic" w:hAnsi="Century Gothic"/>
          <w:sz w:val="24"/>
          <w:szCs w:val="24"/>
        </w:rPr>
        <w:t>2023</w:t>
      </w:r>
      <w:r w:rsidRPr="00E6113B">
        <w:rPr>
          <w:rFonts w:ascii="Century Gothic" w:hAnsi="Century Gothic"/>
          <w:sz w:val="24"/>
          <w:szCs w:val="24"/>
        </w:rPr>
        <w:t xml:space="preserve">. Available online at: </w:t>
      </w:r>
      <w:hyperlink r:id="rId47" w:history="1">
        <w:r w:rsidRPr="00E6113B">
          <w:rPr>
            <w:rStyle w:val="Hyperlink"/>
            <w:rFonts w:ascii="Century Gothic" w:hAnsi="Century Gothic"/>
            <w:sz w:val="24"/>
            <w:szCs w:val="24"/>
          </w:rPr>
          <w:t>http://cdec.water.ca.gov/snowapp/sweq.action</w:t>
        </w:r>
      </w:hyperlink>
    </w:p>
    <w:p w14:paraId="58620F76" w14:textId="0EC3E36B" w:rsidR="00262D91" w:rsidRPr="00E6113B" w:rsidRDefault="00262D91" w:rsidP="00F071FF">
      <w:pPr>
        <w:keepLines/>
        <w:spacing w:after="240"/>
        <w:rPr>
          <w:rFonts w:ascii="Century Gothic" w:hAnsi="Century Gothic"/>
          <w:sz w:val="24"/>
          <w:szCs w:val="24"/>
        </w:rPr>
      </w:pPr>
      <w:r w:rsidRPr="00E6113B">
        <w:rPr>
          <w:rFonts w:ascii="Century Gothic" w:hAnsi="Century Gothic"/>
          <w:sz w:val="24"/>
          <w:szCs w:val="24"/>
        </w:rPr>
        <w:t xml:space="preserve">California Department of Water Resources (DWR). </w:t>
      </w:r>
      <w:r w:rsidR="00F32503" w:rsidRPr="00E6113B">
        <w:rPr>
          <w:rFonts w:ascii="Century Gothic" w:hAnsi="Century Gothic"/>
          <w:sz w:val="24"/>
          <w:szCs w:val="24"/>
        </w:rPr>
        <w:t>202</w:t>
      </w:r>
      <w:r w:rsidR="007E3E1F" w:rsidRPr="00E6113B">
        <w:rPr>
          <w:rFonts w:ascii="Century Gothic" w:hAnsi="Century Gothic"/>
          <w:sz w:val="24"/>
          <w:szCs w:val="24"/>
        </w:rPr>
        <w:t>2</w:t>
      </w:r>
      <w:r w:rsidR="00F32503" w:rsidRPr="00E6113B">
        <w:rPr>
          <w:rFonts w:ascii="Century Gothic" w:hAnsi="Century Gothic"/>
          <w:sz w:val="24"/>
          <w:szCs w:val="24"/>
        </w:rPr>
        <w:t>b</w:t>
      </w:r>
      <w:r w:rsidRPr="00E6113B">
        <w:rPr>
          <w:rFonts w:ascii="Century Gothic" w:hAnsi="Century Gothic"/>
          <w:sz w:val="24"/>
          <w:szCs w:val="24"/>
        </w:rPr>
        <w:t xml:space="preserve">. Snow Surveys. Last accessed </w:t>
      </w:r>
      <w:r w:rsidR="007E3E1F" w:rsidRPr="00E6113B">
        <w:rPr>
          <w:rFonts w:ascii="Century Gothic" w:hAnsi="Century Gothic"/>
          <w:sz w:val="24"/>
          <w:szCs w:val="24"/>
        </w:rPr>
        <w:t>January 6, 2023</w:t>
      </w:r>
      <w:r w:rsidRPr="00E6113B">
        <w:rPr>
          <w:rFonts w:ascii="Century Gothic" w:hAnsi="Century Gothic"/>
          <w:sz w:val="24"/>
          <w:szCs w:val="24"/>
        </w:rPr>
        <w:t>. Available online at:</w:t>
      </w:r>
      <w:r w:rsidRPr="00E6113B">
        <w:rPr>
          <w:rFonts w:ascii="Century Gothic" w:hAnsi="Century Gothic"/>
        </w:rPr>
        <w:t xml:space="preserve"> </w:t>
      </w:r>
      <w:hyperlink r:id="rId48" w:history="1">
        <w:r w:rsidRPr="00E6113B">
          <w:rPr>
            <w:rStyle w:val="Hyperlink"/>
            <w:rFonts w:ascii="Century Gothic" w:hAnsi="Century Gothic"/>
            <w:sz w:val="24"/>
            <w:szCs w:val="24"/>
          </w:rPr>
          <w:t>https://water.ca.gov/Programs/Flood-Management/Flood-Data/Snow-Surveys</w:t>
        </w:r>
      </w:hyperlink>
    </w:p>
    <w:p w14:paraId="131CB920" w14:textId="37D8C138" w:rsidR="00A67322" w:rsidRPr="00E6113B" w:rsidRDefault="00A67322" w:rsidP="00F071FF">
      <w:pPr>
        <w:keepLines/>
        <w:spacing w:after="240"/>
        <w:rPr>
          <w:rFonts w:ascii="Century Gothic" w:hAnsi="Century Gothic"/>
          <w:sz w:val="24"/>
          <w:szCs w:val="24"/>
        </w:rPr>
      </w:pPr>
      <w:r w:rsidRPr="00E6113B">
        <w:rPr>
          <w:rFonts w:ascii="Century Gothic" w:hAnsi="Century Gothic"/>
          <w:sz w:val="24"/>
          <w:szCs w:val="24"/>
        </w:rPr>
        <w:t xml:space="preserve">California Forest Pest Council. </w:t>
      </w:r>
      <w:r w:rsidR="00A21119" w:rsidRPr="00E6113B">
        <w:rPr>
          <w:rFonts w:ascii="Century Gothic" w:hAnsi="Century Gothic"/>
          <w:sz w:val="24"/>
          <w:szCs w:val="24"/>
        </w:rPr>
        <w:t>2019</w:t>
      </w:r>
      <w:r w:rsidRPr="00E6113B">
        <w:rPr>
          <w:rFonts w:ascii="Century Gothic" w:hAnsi="Century Gothic"/>
          <w:sz w:val="24"/>
          <w:szCs w:val="24"/>
        </w:rPr>
        <w:t xml:space="preserve">. California Forest Pest Conditions. Available online at: </w:t>
      </w:r>
      <w:hyperlink r:id="rId49" w:history="1">
        <w:r w:rsidR="00397F59" w:rsidRPr="00E6113B">
          <w:rPr>
            <w:rStyle w:val="Hyperlink"/>
            <w:rFonts w:ascii="Century Gothic" w:hAnsi="Century Gothic"/>
            <w:sz w:val="24"/>
            <w:szCs w:val="24"/>
          </w:rPr>
          <w:t>https://www.fs.usda.gov/Internet/FSE_DOCUMENTS/fseprd736355.pdf</w:t>
        </w:r>
      </w:hyperlink>
    </w:p>
    <w:p w14:paraId="6817AD1E" w14:textId="77777777" w:rsidR="00EF26E3" w:rsidRDefault="00914427" w:rsidP="00EF26E3">
      <w:pPr>
        <w:pStyle w:val="xmsolistparagraph"/>
        <w:ind w:hanging="360"/>
      </w:pPr>
      <w:r w:rsidRPr="00E6113B">
        <w:rPr>
          <w:rFonts w:ascii="Century Gothic" w:hAnsi="Century Gothic"/>
          <w:sz w:val="24"/>
          <w:szCs w:val="24"/>
        </w:rPr>
        <w:lastRenderedPageBreak/>
        <w:t xml:space="preserve">California Forest Pest Council. n.d. </w:t>
      </w:r>
      <w:r w:rsidR="00245536" w:rsidRPr="00E6113B">
        <w:rPr>
          <w:rFonts w:ascii="Century Gothic" w:hAnsi="Century Gothic"/>
          <w:sz w:val="24"/>
          <w:szCs w:val="24"/>
        </w:rPr>
        <w:t xml:space="preserve">Website. </w:t>
      </w:r>
      <w:r w:rsidRPr="00E6113B">
        <w:rPr>
          <w:rFonts w:ascii="Century Gothic" w:hAnsi="Century Gothic"/>
          <w:sz w:val="24"/>
          <w:szCs w:val="24"/>
        </w:rPr>
        <w:t xml:space="preserve">Online at: </w:t>
      </w:r>
      <w:r w:rsidR="00EF26E3">
        <w:rPr>
          <w:rFonts w:ascii="Aptos" w:hAnsi="Aptos"/>
        </w:rPr>
        <w:t xml:space="preserve">Pate, A.A., Segura, C., and </w:t>
      </w:r>
      <w:proofErr w:type="spellStart"/>
      <w:r w:rsidR="00EF26E3">
        <w:rPr>
          <w:rFonts w:ascii="Aptos" w:hAnsi="Aptos"/>
        </w:rPr>
        <w:t>Bladon</w:t>
      </w:r>
      <w:proofErr w:type="spellEnd"/>
      <w:r w:rsidR="00EF26E3">
        <w:rPr>
          <w:rFonts w:ascii="Aptos" w:hAnsi="Aptos"/>
        </w:rPr>
        <w:t>, K.D. 2020. "Streamflow permanence in headwater streams across four geomorphic provinces in Northern California." Hydrological Processes, 34, 4487–4504.</w:t>
      </w:r>
    </w:p>
    <w:p w14:paraId="6F5953E7" w14:textId="77777777" w:rsidR="00EF26E3" w:rsidRDefault="00EF26E3" w:rsidP="00EF26E3">
      <w:pPr>
        <w:pStyle w:val="xmsolistparagraph"/>
        <w:ind w:hanging="360"/>
      </w:pPr>
      <w:r>
        <w:rPr>
          <w:rFonts w:ascii="Aptos" w:hAnsi="Aptos"/>
        </w:rPr>
        <w:t xml:space="preserve">Prats, S. A., Malvar, M. C., and Wagenbrenner, J. W. 2021. Compaction and cover effects on runoff and erosion in post-fire salvage logged areas in the Valley Fire, California. Hydrological Processes, 35, e13997. </w:t>
      </w:r>
      <w:hyperlink r:id="rId50" w:history="1">
        <w:r>
          <w:rPr>
            <w:rStyle w:val="Hyperlink"/>
            <w:rFonts w:ascii="Aptos" w:hAnsi="Aptos"/>
          </w:rPr>
          <w:t>https://doi.org/10.1002/hyp.13997</w:t>
        </w:r>
      </w:hyperlink>
    </w:p>
    <w:p w14:paraId="50F4B65C" w14:textId="77777777" w:rsidR="00EF26E3" w:rsidRDefault="00EF26E3" w:rsidP="00EF26E3">
      <w:pPr>
        <w:pStyle w:val="xmsolistparagraph"/>
        <w:ind w:hanging="360"/>
      </w:pPr>
      <w:r>
        <w:rPr>
          <w:rFonts w:ascii="Aptos" w:hAnsi="Aptos"/>
        </w:rPr>
        <w:t xml:space="preserve">Prats, S. A., Malvar, M. C., Coelho, C. O. A., and Wagenbrenner, J. W. 2019. Hydrologic and erosion responses to compaction and added surface cover in post-fire logged areas: Isolating splash, </w:t>
      </w:r>
      <w:proofErr w:type="spellStart"/>
      <w:r>
        <w:rPr>
          <w:rFonts w:ascii="Aptos" w:hAnsi="Aptos"/>
        </w:rPr>
        <w:t>interrill</w:t>
      </w:r>
      <w:proofErr w:type="spellEnd"/>
      <w:r>
        <w:rPr>
          <w:rFonts w:ascii="Aptos" w:hAnsi="Aptos"/>
        </w:rPr>
        <w:t xml:space="preserve"> and rill erosion. Journal of Hydrology, 575, 408–419. </w:t>
      </w:r>
      <w:hyperlink r:id="rId51" w:history="1">
        <w:r>
          <w:rPr>
            <w:rStyle w:val="Hyperlink"/>
            <w:rFonts w:ascii="Aptos" w:hAnsi="Aptos"/>
          </w:rPr>
          <w:t>https://doi.org/10.1016/j.jhydrol.2019.05.038</w:t>
        </w:r>
      </w:hyperlink>
      <w:r>
        <w:rPr>
          <w:rFonts w:ascii="Aptos" w:hAnsi="Aptos"/>
        </w:rPr>
        <w:t xml:space="preserve"> </w:t>
      </w:r>
    </w:p>
    <w:p w14:paraId="31537D22" w14:textId="5704C18F" w:rsidR="00A67322" w:rsidRPr="00E6113B" w:rsidRDefault="00D33458" w:rsidP="006227A0">
      <w:pPr>
        <w:spacing w:after="240"/>
        <w:rPr>
          <w:rStyle w:val="Hyperlink"/>
          <w:rFonts w:ascii="Century Gothic" w:hAnsi="Century Gothic"/>
          <w:sz w:val="24"/>
          <w:szCs w:val="24"/>
        </w:rPr>
      </w:pPr>
      <w:hyperlink r:id="rId52" w:history="1">
        <w:r w:rsidR="00914427" w:rsidRPr="00E6113B">
          <w:rPr>
            <w:rStyle w:val="Hyperlink"/>
            <w:rFonts w:ascii="Century Gothic" w:hAnsi="Century Gothic"/>
            <w:sz w:val="24"/>
            <w:szCs w:val="24"/>
          </w:rPr>
          <w:t>http://caforestpestcouncil.org/</w:t>
        </w:r>
      </w:hyperlink>
    </w:p>
    <w:p w14:paraId="159AC7B2" w14:textId="077E39D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Cobb, R., A. Poloni, A. Flores, M. Garbeletto, and C. Lee. 2022. Do forest practice rules minimize fir mortality from root disease and bark beetle interactions? – a final report. California Polytechnic State University, San Luis Obispo, Department of Natural Resources Management and Environmental Sciences. Virtual presentation on EMC-2019-002 to the Effectiveness Monitoring Committee on April 12, 2022. </w:t>
      </w:r>
      <w:hyperlink r:id="rId53" w:history="1">
        <w:r w:rsidRPr="00E6113B">
          <w:rPr>
            <w:rStyle w:val="Hyperlink"/>
            <w:rFonts w:ascii="Century Gothic" w:hAnsi="Century Gothic"/>
          </w:rPr>
          <w:t>https://bof.fire.ca.gov/media/svnob5j0/6-emc-2017-008-final-report-april-2022_ada.pdf/</w:t>
        </w:r>
      </w:hyperlink>
      <w:r w:rsidRPr="00E6113B">
        <w:rPr>
          <w:rFonts w:ascii="Century Gothic" w:hAnsi="Century Gothic"/>
        </w:rPr>
        <w:t>. Accessed 07 December 2022.</w:t>
      </w:r>
    </w:p>
    <w:p w14:paraId="2B5F0A67" w14:textId="5276E338" w:rsidR="00EF26E3" w:rsidRPr="00E6113B" w:rsidRDefault="00EF26E3" w:rsidP="004B35AF">
      <w:pPr>
        <w:pStyle w:val="Default"/>
        <w:spacing w:after="240"/>
        <w:ind w:left="720" w:hanging="720"/>
        <w:rPr>
          <w:rFonts w:ascii="Century Gothic" w:hAnsi="Century Gothic"/>
        </w:rPr>
      </w:pPr>
      <w:r w:rsidRPr="00EF26E3">
        <w:rPr>
          <w:rFonts w:ascii="Century Gothic" w:hAnsi="Century Gothic"/>
        </w:rPr>
        <w:t xml:space="preserve">Cole, R. P., </w:t>
      </w:r>
      <w:proofErr w:type="spellStart"/>
      <w:r w:rsidRPr="00EF26E3">
        <w:rPr>
          <w:rFonts w:ascii="Century Gothic" w:hAnsi="Century Gothic"/>
        </w:rPr>
        <w:t>Bladon</w:t>
      </w:r>
      <w:proofErr w:type="spellEnd"/>
      <w:r w:rsidRPr="00EF26E3">
        <w:rPr>
          <w:rFonts w:ascii="Century Gothic" w:hAnsi="Century Gothic"/>
        </w:rPr>
        <w:t>, K. D., Wagenbrenner, J. W., and Coe, D. B. R. 2020. Hillslope sediment production after wildfire and post-fire forest management in northern California. Hydrological Processes, 34, 5242–5259. https://doi.org/10.1002/hyp.13932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54"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7C97D205" w14:textId="5FF0DDD2" w:rsidR="00245536" w:rsidRPr="00E6113B" w:rsidRDefault="00245536" w:rsidP="00F071FF">
      <w:pPr>
        <w:keepLines/>
        <w:spacing w:after="240"/>
        <w:rPr>
          <w:rFonts w:ascii="Century Gothic" w:hAnsi="Century Gothic"/>
          <w:sz w:val="24"/>
          <w:szCs w:val="24"/>
        </w:rPr>
      </w:pPr>
      <w:r w:rsidRPr="00E6113B">
        <w:rPr>
          <w:rFonts w:ascii="Century Gothic" w:hAnsi="Century Gothic"/>
          <w:sz w:val="24"/>
          <w:szCs w:val="24"/>
        </w:rPr>
        <w:t xml:space="preserve">Effectiveness Monitoring Committee (EMC). n.d. Website. Online at: </w:t>
      </w:r>
      <w:hyperlink r:id="rId55" w:history="1">
        <w:r w:rsidRPr="00E6113B">
          <w:rPr>
            <w:rStyle w:val="Hyperlink"/>
            <w:rFonts w:ascii="Century Gothic" w:hAnsi="Century Gothic"/>
            <w:sz w:val="24"/>
            <w:szCs w:val="24"/>
          </w:rPr>
          <w:t>https://bof.fire.ca.gov/board-committees/effectiveness-monitoring-committee/</w:t>
        </w:r>
      </w:hyperlink>
    </w:p>
    <w:p w14:paraId="45E0209E" w14:textId="1CA0B0C5" w:rsidR="005862BD" w:rsidRPr="00E6113B" w:rsidRDefault="005862BD" w:rsidP="00F071FF">
      <w:pPr>
        <w:keepLines/>
        <w:spacing w:after="240"/>
        <w:rPr>
          <w:rFonts w:ascii="Century Gothic" w:hAnsi="Century Gothic"/>
          <w:sz w:val="24"/>
          <w:szCs w:val="24"/>
        </w:rPr>
      </w:pPr>
      <w:r w:rsidRPr="00E6113B">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257BF9DD" w:rsidR="0016358C" w:rsidRPr="00E6113B" w:rsidRDefault="0016358C" w:rsidP="00F071FF">
      <w:pPr>
        <w:keepLines/>
        <w:spacing w:after="240"/>
        <w:rPr>
          <w:rFonts w:ascii="Century Gothic" w:hAnsi="Century Gothic"/>
          <w:sz w:val="24"/>
          <w:szCs w:val="24"/>
        </w:rPr>
      </w:pPr>
      <w:r w:rsidRPr="00E6113B">
        <w:rPr>
          <w:rFonts w:ascii="Century Gothic" w:hAnsi="Century Gothic"/>
          <w:sz w:val="24"/>
          <w:szCs w:val="24"/>
        </w:rPr>
        <w:t xml:space="preserve">Fire and Resource Assessment Program (FRAP). </w:t>
      </w:r>
      <w:r w:rsidR="00F348C7" w:rsidRPr="00E6113B">
        <w:rPr>
          <w:rFonts w:ascii="Century Gothic" w:hAnsi="Century Gothic"/>
          <w:sz w:val="24"/>
          <w:szCs w:val="24"/>
        </w:rPr>
        <w:t>2020</w:t>
      </w:r>
      <w:r w:rsidRPr="00E6113B">
        <w:rPr>
          <w:rFonts w:ascii="Century Gothic" w:hAnsi="Century Gothic"/>
          <w:sz w:val="24"/>
          <w:szCs w:val="24"/>
        </w:rPr>
        <w:t xml:space="preserve">. California’s Forests and Rangelands </w:t>
      </w:r>
      <w:r w:rsidR="00F348C7" w:rsidRPr="00E6113B">
        <w:rPr>
          <w:rFonts w:ascii="Century Gothic" w:hAnsi="Century Gothic"/>
          <w:sz w:val="24"/>
          <w:szCs w:val="24"/>
        </w:rPr>
        <w:t>2020</w:t>
      </w:r>
      <w:r w:rsidRPr="00E6113B">
        <w:rPr>
          <w:rFonts w:ascii="Century Gothic" w:hAnsi="Century Gothic"/>
          <w:sz w:val="24"/>
          <w:szCs w:val="24"/>
        </w:rPr>
        <w:t xml:space="preserve"> Assessment. Available online at: </w:t>
      </w:r>
      <w:hyperlink r:id="rId56" w:history="1">
        <w:r w:rsidRPr="00E6113B">
          <w:rPr>
            <w:rStyle w:val="Hyperlink"/>
            <w:rFonts w:ascii="Century Gothic" w:hAnsi="Century Gothic"/>
            <w:sz w:val="24"/>
            <w:szCs w:val="24"/>
          </w:rPr>
          <w:t>https://frap.fire.ca.gov/media/3180/assessment2017.pdf</w:t>
        </w:r>
      </w:hyperlink>
    </w:p>
    <w:p w14:paraId="6BA62D29" w14:textId="486D9ED9" w:rsidR="00193798" w:rsidRPr="00E6113B" w:rsidRDefault="00193798" w:rsidP="00F071FF">
      <w:pPr>
        <w:keepLines/>
        <w:spacing w:after="240"/>
        <w:rPr>
          <w:rFonts w:ascii="Century Gothic" w:hAnsi="Century Gothic"/>
          <w:sz w:val="24"/>
          <w:szCs w:val="24"/>
        </w:r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57" w:history="1">
        <w:r w:rsidRPr="00E6113B">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E6113B" w:rsidRDefault="003B231A" w:rsidP="00F071FF">
      <w:pPr>
        <w:keepLines/>
        <w:spacing w:after="240"/>
        <w:rPr>
          <w:rFonts w:ascii="Century Gothic" w:hAnsi="Century Gothic"/>
          <w:sz w:val="24"/>
          <w:szCs w:val="24"/>
        </w:rPr>
      </w:pPr>
      <w:r w:rsidRPr="00E6113B">
        <w:rPr>
          <w:rFonts w:ascii="Century Gothic" w:hAnsi="Century Gothic"/>
          <w:sz w:val="24"/>
          <w:szCs w:val="24"/>
        </w:rPr>
        <w:lastRenderedPageBreak/>
        <w:t xml:space="preserve">Forest Practice Rules Implementation and Effectiveness Monitoring Program (FORPRIEM). 2014. Brandow, C.A and Cafferata, P.H. This report is not available online. For a copy, interested parties may email Pete Cafferata at </w:t>
      </w:r>
      <w:hyperlink r:id="rId58" w:history="1">
        <w:r w:rsidRPr="00E6113B">
          <w:rPr>
            <w:rStyle w:val="Hyperlink"/>
            <w:rFonts w:ascii="Century Gothic" w:hAnsi="Century Gothic"/>
            <w:sz w:val="24"/>
            <w:szCs w:val="24"/>
          </w:rPr>
          <w:t>Pete.Cafferata@fire.ca.gov</w:t>
        </w:r>
      </w:hyperlink>
      <w:r w:rsidRPr="00E6113B">
        <w:rPr>
          <w:rFonts w:ascii="Century Gothic" w:hAnsi="Century Gothic"/>
          <w:sz w:val="24"/>
          <w:szCs w:val="24"/>
        </w:rPr>
        <w:t>.</w:t>
      </w:r>
    </w:p>
    <w:p w14:paraId="1FEC63AB" w14:textId="750B65DE" w:rsidR="00F34CD7" w:rsidRPr="00E6113B" w:rsidRDefault="00F34CD7" w:rsidP="00F071FF">
      <w:pPr>
        <w:keepLines/>
        <w:spacing w:after="240"/>
        <w:rPr>
          <w:rFonts w:ascii="Century Gothic" w:hAnsi="Century Gothic"/>
          <w:sz w:val="24"/>
          <w:szCs w:val="24"/>
        </w:rPr>
      </w:pPr>
      <w:r w:rsidRPr="00E6113B">
        <w:rPr>
          <w:rFonts w:ascii="Century Gothic" w:hAnsi="Century Gothic"/>
          <w:sz w:val="24"/>
          <w:szCs w:val="24"/>
        </w:rPr>
        <w:t xml:space="preserve">Jeronimo, S.M.A., Kane, V.R., Churchill, D.J., Lutz, J.A., North, M.P., Anser, G.P., and Franklin, J.F. 2019. Forest structure and pattern vary by climate and landform across active-fire landscapes in the montane Sierra Nevada. </w:t>
      </w:r>
      <w:r w:rsidRPr="00E6113B">
        <w:rPr>
          <w:rFonts w:ascii="Century Gothic" w:hAnsi="Century Gothic"/>
          <w:i/>
          <w:iCs/>
          <w:sz w:val="24"/>
          <w:szCs w:val="24"/>
        </w:rPr>
        <w:t>Forest Ecology and Management. 437</w:t>
      </w:r>
      <w:r w:rsidRPr="00E6113B">
        <w:rPr>
          <w:rFonts w:ascii="Century Gothic" w:hAnsi="Century Gothic"/>
          <w:sz w:val="24"/>
          <w:szCs w:val="24"/>
        </w:rPr>
        <w:t>:</w:t>
      </w:r>
      <w:r w:rsidRPr="00E6113B">
        <w:rPr>
          <w:rFonts w:ascii="Century Gothic" w:hAnsi="Century Gothic"/>
          <w:i/>
          <w:iCs/>
          <w:sz w:val="24"/>
          <w:szCs w:val="24"/>
        </w:rPr>
        <w:t xml:space="preserve"> </w:t>
      </w:r>
      <w:r w:rsidRPr="00E6113B">
        <w:rPr>
          <w:rFonts w:ascii="Century Gothic" w:hAnsi="Century Gothic"/>
          <w:sz w:val="24"/>
          <w:szCs w:val="24"/>
        </w:rPr>
        <w:t xml:space="preserve">70-86. doi: 10.1016/j.foreco.2019.01.033. Available online at: </w:t>
      </w:r>
      <w:hyperlink r:id="rId59" w:history="1">
        <w:r w:rsidRPr="00E6113B">
          <w:rPr>
            <w:rFonts w:ascii="Century Gothic" w:hAnsi="Century Gothic"/>
            <w:color w:val="0000FF"/>
            <w:sz w:val="24"/>
            <w:szCs w:val="24"/>
            <w:u w:val="single"/>
          </w:rPr>
          <w:t>https://www.fs.usda.gov/treesearch/pubs/58601</w:t>
        </w:r>
      </w:hyperlink>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r w:rsidRPr="00E6113B">
        <w:rPr>
          <w:rFonts w:ascii="Century Gothic" w:hAnsi="Century Gothic"/>
          <w:sz w:val="24"/>
          <w:szCs w:val="24"/>
        </w:rPr>
        <w:t xml:space="preserve">doi: 10.3390/f9100651. Available online at: </w:t>
      </w:r>
      <w:hyperlink r:id="rId60" w:history="1">
        <w:r w:rsidR="003920CB" w:rsidRPr="00E6113B">
          <w:rPr>
            <w:rFonts w:ascii="Century Gothic" w:hAnsi="Century Gothic"/>
            <w:color w:val="0000FF"/>
            <w:sz w:val="24"/>
            <w:szCs w:val="24"/>
            <w:u w:val="single"/>
          </w:rPr>
          <w:t>https://www.fs.usda.gov/treesearch/pubs/58482</w:t>
        </w:r>
      </w:hyperlink>
    </w:p>
    <w:p w14:paraId="387B5953" w14:textId="1467D46A"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Moghaddas, J. 2022. Evaluating treatment longevity and maintenance needs for fuel</w:t>
      </w:r>
      <w:r w:rsidR="007E3E1F" w:rsidRPr="00E6113B">
        <w:rPr>
          <w:rFonts w:ascii="Century Gothic" w:hAnsi="Century Gothic"/>
        </w:rPr>
        <w:t xml:space="preserve"> </w:t>
      </w:r>
      <w:r w:rsidRPr="00E6113B">
        <w:rPr>
          <w:rFonts w:ascii="Century Gothic" w:hAnsi="Century Gothic"/>
        </w:rPr>
        <w:t xml:space="preserve">reduction projects implemented in the wildland urban interface of Plumas County, CA. Spatial Informatics Group. Virtual presentation on EMC-2019-002 to the Effectiveness Monitoring Committee on April 12, 2022. </w:t>
      </w:r>
      <w:hyperlink r:id="rId61" w:history="1">
        <w:r w:rsidRPr="00E6113B">
          <w:rPr>
            <w:rStyle w:val="Hyperlink"/>
            <w:rFonts w:ascii="Century Gothic" w:hAnsi="Century Gothic"/>
          </w:rPr>
          <w:t>https://bof.fire.ca.gov/media/xqwp5z5p/8a-emc-2019-002-final-presentation_ada.pdf</w:t>
        </w:r>
      </w:hyperlink>
      <w:r w:rsidRPr="00E6113B">
        <w:rPr>
          <w:rFonts w:ascii="Century Gothic" w:hAnsi="Century Gothic"/>
        </w:rPr>
        <w:t>. Accessed 07 December 2022.</w:t>
      </w:r>
    </w:p>
    <w:p w14:paraId="5E565AFF" w14:textId="0EF4879F" w:rsidR="00154F34" w:rsidRPr="00E6113B" w:rsidRDefault="00154F34" w:rsidP="00F071FF">
      <w:pPr>
        <w:keepLines/>
        <w:spacing w:after="240"/>
        <w:rPr>
          <w:rFonts w:ascii="Century Gothic" w:hAnsi="Century Gothic"/>
          <w:sz w:val="24"/>
          <w:szCs w:val="24"/>
        </w:rPr>
      </w:pPr>
      <w:r w:rsidRPr="00E6113B">
        <w:rPr>
          <w:rFonts w:ascii="Century Gothic" w:hAnsi="Century Gothic"/>
          <w:sz w:val="24"/>
          <w:szCs w:val="24"/>
        </w:rPr>
        <w:t>National Oceanic and Atmospheric Administration (NOAA).</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xml:space="preserve">. National Centers for Environmental Information. Last accessed: </w:t>
      </w:r>
      <w:r w:rsidR="00B7523F" w:rsidRPr="00E6113B">
        <w:rPr>
          <w:rFonts w:ascii="Century Gothic" w:hAnsi="Century Gothic"/>
          <w:sz w:val="24"/>
          <w:szCs w:val="24"/>
        </w:rPr>
        <w:t>November</w:t>
      </w:r>
      <w:r w:rsidR="00D92B21" w:rsidRPr="00E6113B">
        <w:rPr>
          <w:rFonts w:ascii="Century Gothic" w:hAnsi="Century Gothic"/>
          <w:sz w:val="24"/>
          <w:szCs w:val="24"/>
        </w:rPr>
        <w:t xml:space="preserve"> </w:t>
      </w:r>
      <w:r w:rsidR="007E3E1F" w:rsidRPr="00E6113B">
        <w:rPr>
          <w:rFonts w:ascii="Century Gothic" w:hAnsi="Century Gothic"/>
          <w:sz w:val="24"/>
          <w:szCs w:val="24"/>
        </w:rPr>
        <w:t>16</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62" w:history="1">
        <w:r w:rsidR="004410EE" w:rsidRPr="00E6113B">
          <w:rPr>
            <w:rFonts w:ascii="Century Gothic" w:hAnsi="Century Gothic"/>
            <w:color w:val="0000FF"/>
            <w:sz w:val="24"/>
            <w:szCs w:val="24"/>
            <w:u w:val="single"/>
          </w:rPr>
          <w:t>https://www.ncdc.noaa.gov/temp-and-precip/us-maps/</w:t>
        </w:r>
      </w:hyperlink>
    </w:p>
    <w:p w14:paraId="3D08BE0A" w14:textId="7A6DB8C5" w:rsidR="006227A0" w:rsidRDefault="006227A0" w:rsidP="00F071FF">
      <w:pPr>
        <w:keepLines/>
        <w:spacing w:after="240"/>
        <w:rPr>
          <w:rStyle w:val="Hyperlink"/>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63" w:history="1">
        <w:r w:rsidRPr="00E6113B">
          <w:rPr>
            <w:rStyle w:val="Hyperlink"/>
            <w:rFonts w:ascii="Century Gothic" w:hAnsi="Century Gothic"/>
            <w:sz w:val="24"/>
            <w:szCs w:val="24"/>
          </w:rPr>
          <w:t>https://www.researchgate.net/publication/335149799_Exemption_and_Emergency_Notice_Monitoring_Pilot_Project_Report</w:t>
        </w:r>
      </w:hyperlink>
    </w:p>
    <w:p w14:paraId="034887E3" w14:textId="68F487D8" w:rsidR="00F06CC5" w:rsidRDefault="00F06CC5" w:rsidP="00F071FF">
      <w:pPr>
        <w:keepLines/>
        <w:spacing w:after="240"/>
        <w:rPr>
          <w:rFonts w:ascii="Century Gothic" w:hAnsi="Century Gothic"/>
          <w:sz w:val="24"/>
          <w:szCs w:val="24"/>
        </w:rPr>
      </w:pPr>
      <w:r w:rsidRPr="00F06CC5">
        <w:rPr>
          <w:rFonts w:ascii="Century Gothic" w:hAnsi="Century Gothic"/>
          <w:sz w:val="24"/>
          <w:szCs w:val="24"/>
        </w:rPr>
        <w:t>Olsen, W., Coe, D., Oswald, J., Allison, C.  Fehrenbach, A., Boone, M.  In prep.  Monitoring Results of Non-Federal Post-Fire Salvage Logging in California Forests: Report on Post-Fire §1052 Notice of Emergency Timber Operations.  California Forestry Report No. 8</w:t>
      </w:r>
    </w:p>
    <w:p w14:paraId="403E0709" w14:textId="2DBAF8FA"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 xml:space="preserve">Olsen, W., and Coe, D. 2021b. “Beyond Zone 1: Monitoring of Fire Hazard Reduction Within 300 Feet of Residences Through Timber Harvest with the §1038(c)(6) Exemption”. California Department of Forestry and Fire Protection and State Board of Forestry and Fire Protection. Sacramento, CA. 46 p. plus Appendices. </w:t>
      </w:r>
      <w:hyperlink r:id="rId64" w:history="1">
        <w:r w:rsidRPr="00970377">
          <w:rPr>
            <w:rStyle w:val="Hyperlink"/>
            <w:rFonts w:ascii="Century Gothic" w:hAnsi="Century Gothic"/>
            <w:sz w:val="24"/>
            <w:szCs w:val="24"/>
          </w:rPr>
          <w:t>https://bof.fire.ca.gov/media/dvlputmk/full-10-e-exemption-and-emergency-monitoring-report_ada.pdf</w:t>
        </w:r>
      </w:hyperlink>
      <w:r w:rsidRPr="00EF26E3">
        <w:rPr>
          <w:rFonts w:ascii="Century Gothic" w:hAnsi="Century Gothic"/>
          <w:sz w:val="24"/>
          <w:szCs w:val="24"/>
        </w:rPr>
        <w:t>.</w:t>
      </w:r>
      <w:r>
        <w:rPr>
          <w:rFonts w:ascii="Century Gothic" w:hAnsi="Century Gothic"/>
          <w:sz w:val="24"/>
          <w:szCs w:val="24"/>
        </w:rPr>
        <w:t xml:space="preserve"> </w:t>
      </w:r>
    </w:p>
    <w:p w14:paraId="28AF2DBF" w14:textId="50D3CCD3"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lastRenderedPageBreak/>
        <w:t>Olsen, W., and Coe, D. 2022. Forest Fire Prevention, or Fire Resiliency? Monitoring Report on the 1038 Forest Fire Prevention Exemption. Sacramento, CA. 127 p. plus Appendices. California Department of Forestry and Fire Protection and State Board of Forestry and Fire Protection. Sacramento, CA. 127 p. plus Appendices. (PDF) Forest Fire Prevention, or Forest Resiliency? Monitoring Report on the §1038 Forest Fire Prevention Exemption (researchgate.net)</w:t>
      </w:r>
      <w:r>
        <w:rPr>
          <w:rFonts w:ascii="Century Gothic" w:hAnsi="Century Gothic"/>
          <w:sz w:val="24"/>
          <w:szCs w:val="24"/>
        </w:rPr>
        <w:t xml:space="preserve"> </w:t>
      </w:r>
    </w:p>
    <w:p w14:paraId="1EA7C443" w14:textId="4B6111AB" w:rsidR="00EF26E3" w:rsidRPr="00E6113B" w:rsidRDefault="00EF26E3" w:rsidP="00F071FF">
      <w:pPr>
        <w:keepLines/>
        <w:spacing w:after="240"/>
        <w:rPr>
          <w:rFonts w:ascii="Century Gothic" w:hAnsi="Century Gothic"/>
          <w:sz w:val="24"/>
          <w:szCs w:val="24"/>
        </w:rPr>
      </w:pPr>
      <w:r w:rsidRPr="00EF26E3">
        <w:rPr>
          <w:rFonts w:ascii="Century Gothic" w:hAnsi="Century Gothic"/>
          <w:sz w:val="24"/>
          <w:szCs w:val="24"/>
        </w:rPr>
        <w:t>Olsen, W., Coe, D., Stanish, S., Cafferata, P. 2019. “Report on Emergency Notice of Timber Operations Monitoring Results and Exemption Notice Use”. California Department of Forestry and Fire Protection and State Board of Forestry and Fire Protection. Sacramento, CA. 35 p. plus Appendices. (PDF) REPORT ON EMERGENCY NOTICE OF TIMBER OPERATIONS MONITORING RESULTS AND EXEMPTION NOTICE USE (researchgate.net).</w:t>
      </w:r>
    </w:p>
    <w:p w14:paraId="49F8BFED" w14:textId="2B4DA3A1" w:rsidR="009A6660" w:rsidRPr="00E6113B" w:rsidRDefault="00BB1D80" w:rsidP="00F071FF">
      <w:pPr>
        <w:keepLines/>
        <w:spacing w:after="240"/>
        <w:rPr>
          <w:rFonts w:ascii="Century Gothic" w:hAnsi="Century Gothic"/>
          <w:sz w:val="24"/>
          <w:szCs w:val="24"/>
        </w:rPr>
      </w:pPr>
      <w:r w:rsidRPr="00E6113B">
        <w:rPr>
          <w:rFonts w:ascii="Century Gothic" w:hAnsi="Century Gothic"/>
          <w:sz w:val="24"/>
          <w:szCs w:val="24"/>
        </w:rPr>
        <w:t xml:space="preserve">Rundel, P.W. 2018. California Chaparral and Its Global Significance. </w:t>
      </w:r>
      <w:r w:rsidRPr="00E6113B">
        <w:rPr>
          <w:rFonts w:ascii="Century Gothic" w:hAnsi="Century Gothic"/>
          <w:i/>
          <w:iCs/>
          <w:sz w:val="24"/>
          <w:szCs w:val="24"/>
        </w:rPr>
        <w:t xml:space="preserve">Valuing Chaparral, </w:t>
      </w:r>
      <w:r w:rsidRPr="00E6113B">
        <w:rPr>
          <w:rFonts w:ascii="Century Gothic" w:hAnsi="Century Gothic"/>
          <w:sz w:val="24"/>
          <w:szCs w:val="24"/>
        </w:rPr>
        <w:t>Springer Series on Environmental Management. doi: 10.1007/978-3-319-68303-4_1 Available online at:</w:t>
      </w:r>
      <w:r w:rsidR="00B66C18" w:rsidRPr="00E6113B">
        <w:rPr>
          <w:rFonts w:ascii="Century Gothic" w:hAnsi="Century Gothic"/>
          <w:sz w:val="24"/>
          <w:szCs w:val="24"/>
        </w:rPr>
        <w:t xml:space="preserve"> </w:t>
      </w:r>
      <w:hyperlink r:id="rId65" w:history="1">
        <w:r w:rsidR="00B66C18" w:rsidRPr="00E6113B">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E6113B" w:rsidRDefault="009A6660" w:rsidP="0035278F">
      <w:pPr>
        <w:pStyle w:val="BodyText"/>
        <w:rPr>
          <w:rFonts w:cs="MrEavesXLSanNarOTBook"/>
        </w:rPr>
      </w:pPr>
      <w:r w:rsidRPr="00E6113B">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51"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51"/>
      <w:r w:rsidR="00FF6979" w:rsidRPr="00E6113B">
        <w:rPr>
          <w:rFonts w:cs="MrEavesXLSanNarOTBook"/>
        </w:rPr>
        <w:fldChar w:fldCharType="end"/>
      </w:r>
    </w:p>
    <w:p w14:paraId="6A71F96E" w14:textId="77777777" w:rsidR="001C7EB3" w:rsidRPr="00E6113B" w:rsidRDefault="001C7EB3" w:rsidP="0035278F">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66"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Default="00262D91" w:rsidP="00F071FF">
      <w:pPr>
        <w:keepLines/>
        <w:spacing w:after="240"/>
        <w:rPr>
          <w:rStyle w:val="Hyperlink"/>
          <w:rFonts w:ascii="Century Gothic" w:hAnsi="Century Gothic"/>
          <w:sz w:val="24"/>
          <w:szCs w:val="24"/>
        </w:rPr>
      </w:pPr>
      <w:r w:rsidRPr="00E6113B">
        <w:rPr>
          <w:rFonts w:ascii="Century Gothic" w:hAnsi="Century Gothic"/>
          <w:sz w:val="24"/>
          <w:szCs w:val="24"/>
        </w:rPr>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67" w:history="1">
        <w:r w:rsidRPr="00E6113B">
          <w:rPr>
            <w:rStyle w:val="Hyperlink"/>
            <w:rFonts w:ascii="Century Gothic" w:hAnsi="Century Gothic"/>
            <w:sz w:val="24"/>
            <w:szCs w:val="24"/>
          </w:rPr>
          <w:t>https://droughtmonitor.unl.edu/Summary.aspx</w:t>
        </w:r>
      </w:hyperlink>
    </w:p>
    <w:p w14:paraId="7E523796" w14:textId="66D8ACCF" w:rsidR="00EF26E3" w:rsidRPr="00E6113B" w:rsidRDefault="00EF26E3" w:rsidP="00F071FF">
      <w:pPr>
        <w:keepLines/>
        <w:spacing w:after="240"/>
        <w:rPr>
          <w:rStyle w:val="Hyperlink"/>
          <w:rFonts w:ascii="Century Gothic" w:hAnsi="Century Gothic"/>
          <w:color w:val="auto"/>
          <w:sz w:val="24"/>
          <w:szCs w:val="24"/>
          <w:u w:val="none"/>
        </w:rPr>
      </w:pPr>
      <w:r w:rsidRPr="00EF26E3">
        <w:rPr>
          <w:rStyle w:val="Hyperlink"/>
          <w:rFonts w:ascii="Century Gothic" w:hAnsi="Century Gothic"/>
          <w:color w:val="auto"/>
          <w:sz w:val="24"/>
          <w:szCs w:val="24"/>
          <w:u w:val="none"/>
        </w:rPr>
        <w:t xml:space="preserve">Wagenbrenner, J.W., Coe, D., and Olsen, W. 2023. “California Forestry Report No. 7: Mitigating Potential Sediment Delivery from Post-Fire Salvage Logging.” California Department of Forestry and Fire Protection and State Board of Forestry and Fire Protection. Sacramento, CA. 32 p. </w:t>
      </w:r>
      <w:hyperlink r:id="rId68" w:history="1">
        <w:r w:rsidRPr="00970377">
          <w:rPr>
            <w:rStyle w:val="Hyperlink"/>
            <w:rFonts w:ascii="Century Gothic" w:hAnsi="Century Gothic"/>
            <w:sz w:val="24"/>
            <w:szCs w:val="24"/>
          </w:rPr>
          <w:t>https://bof.fire.ca.gov/media/0wmlbt05/california-forestry-report-7-post-fire-salvage-logging.pdf</w:t>
        </w:r>
      </w:hyperlink>
      <w:r w:rsidRPr="00EF26E3">
        <w:rPr>
          <w:rStyle w:val="Hyperlink"/>
          <w:rFonts w:ascii="Century Gothic" w:hAnsi="Century Gothic"/>
          <w:color w:val="auto"/>
          <w:sz w:val="24"/>
          <w:szCs w:val="24"/>
          <w:u w:val="none"/>
        </w:rPr>
        <w:t>.</w:t>
      </w:r>
      <w:r>
        <w:rPr>
          <w:rStyle w:val="Hyperlink"/>
          <w:rFonts w:ascii="Century Gothic" w:hAnsi="Century Gothic"/>
          <w:color w:val="auto"/>
          <w:sz w:val="24"/>
          <w:szCs w:val="24"/>
          <w:u w:val="none"/>
        </w:rPr>
        <w:t xml:space="preserve"> </w:t>
      </w:r>
    </w:p>
    <w:p w14:paraId="54D5A75B"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Waitman, B., and J. Leonard. 2022a. EMC-2017-008: DRAFT Completed Research Assessment. Effectiveness Monitoring Committee. Virtual presentation on EMC-2017-008 to the Effectiveness Monitoring Committee on September 28, 2022.  </w:t>
      </w:r>
      <w:hyperlink r:id="rId69" w:history="1">
        <w:r w:rsidRPr="00E6113B">
          <w:rPr>
            <w:rStyle w:val="Hyperlink"/>
            <w:rFonts w:ascii="Century Gothic" w:hAnsi="Century Gothic"/>
          </w:rPr>
          <w:t>https://bof.fire.ca.gov/media/c1qlu5uw/8-emc-2017-008-cobb-cra-sept-2022-draft_ada.pdf</w:t>
        </w:r>
      </w:hyperlink>
      <w:r w:rsidRPr="00E6113B">
        <w:rPr>
          <w:rFonts w:ascii="Century Gothic" w:hAnsi="Century Gothic"/>
        </w:rPr>
        <w:t>. Accessed 07 December 2022.</w:t>
      </w:r>
    </w:p>
    <w:p w14:paraId="02DEC312" w14:textId="673CB6D4" w:rsidR="00FE6DAE" w:rsidRPr="00E6113B" w:rsidRDefault="004B35AF" w:rsidP="007449C0">
      <w:pPr>
        <w:pStyle w:val="Default"/>
        <w:spacing w:after="240"/>
        <w:ind w:left="720" w:hanging="720"/>
        <w:rPr>
          <w:rFonts w:ascii="Century Gothic" w:hAnsi="Century Gothic"/>
        </w:rPr>
      </w:pPr>
      <w:r w:rsidRPr="00E6113B">
        <w:rPr>
          <w:rFonts w:ascii="Century Gothic" w:hAnsi="Century Gothic"/>
        </w:rPr>
        <w:t xml:space="preserve">Waitman, B., and J. Leonard. 2022b. EMC-2017-008: revised DRAFT Completed Research Assessment. Effectiveness Monitoring Committee. Virtual presentation to the Effectiveness Monitoring Committee on EMC-2017-008 on November 18, 2022. </w:t>
      </w:r>
      <w:hyperlink r:id="rId70" w:history="1">
        <w:r w:rsidRPr="00E6113B">
          <w:rPr>
            <w:rStyle w:val="Hyperlink"/>
            <w:rFonts w:ascii="Century Gothic" w:hAnsi="Century Gothic"/>
          </w:rPr>
          <w:t>https://bof.fire.ca.gov/media/zuwl1hrj/6-emc-2017-008-draft-cra-nov-2022.pdf</w:t>
        </w:r>
      </w:hyperlink>
      <w:r w:rsidRPr="00E6113B">
        <w:rPr>
          <w:rFonts w:ascii="Century Gothic" w:hAnsi="Century Gothic"/>
        </w:rPr>
        <w:t>. Accessed 07 December 2022.</w:t>
      </w:r>
      <w:bookmarkStart w:id="52" w:name="_TOC_250000"/>
      <w:bookmarkEnd w:id="52"/>
    </w:p>
    <w:sectPr w:rsidR="00FE6DAE" w:rsidRPr="00E6113B" w:rsidSect="004E4589">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8F008" w14:textId="77777777" w:rsidR="00BA445D" w:rsidRDefault="00BA445D">
      <w:r>
        <w:separator/>
      </w:r>
    </w:p>
  </w:endnote>
  <w:endnote w:type="continuationSeparator" w:id="0">
    <w:p w14:paraId="4117D79C" w14:textId="77777777" w:rsidR="00BA445D" w:rsidRDefault="00BA445D">
      <w:r>
        <w:continuationSeparator/>
      </w:r>
    </w:p>
  </w:endnote>
  <w:endnote w:type="continuationNotice" w:id="1">
    <w:p w14:paraId="7815E037" w14:textId="77777777" w:rsidR="00BA445D" w:rsidRDefault="00BA4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152B" w14:textId="0C53CBF9" w:rsidR="00BE311C" w:rsidRPr="00D94B2C" w:rsidRDefault="00D94B2C" w:rsidP="00D94B2C">
    <w:pPr>
      <w:pStyle w:val="Footer"/>
    </w:pPr>
    <w:r>
      <w:t>DRAFT</w:t>
    </w:r>
    <w:r>
      <w:tab/>
    </w:r>
    <w:r w:rsidR="007027D1">
      <w:t xml:space="preserve">FULL </w:t>
    </w:r>
    <w:r w:rsidR="005A75A3">
      <w:t>9</w:t>
    </w:r>
    <w:r w:rsidR="007027D1">
      <w:t>(b)</w:t>
    </w:r>
    <w:r>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CA797" w14:textId="77777777" w:rsidR="00BA445D" w:rsidRDefault="00BA445D">
      <w:r>
        <w:separator/>
      </w:r>
    </w:p>
  </w:footnote>
  <w:footnote w:type="continuationSeparator" w:id="0">
    <w:p w14:paraId="443FF694" w14:textId="77777777" w:rsidR="00BA445D" w:rsidRDefault="00BA445D">
      <w:r>
        <w:continuationSeparator/>
      </w:r>
    </w:p>
  </w:footnote>
  <w:footnote w:type="continuationNotice" w:id="1">
    <w:p w14:paraId="02C37CBA" w14:textId="77777777" w:rsidR="00BA445D" w:rsidRDefault="00BA445D"/>
  </w:footnote>
  <w:footnote w:id="2">
    <w:p w14:paraId="35C0B7D3" w14:textId="6A9B19EA" w:rsidR="00BE311C" w:rsidRDefault="00BE311C">
      <w:pPr>
        <w:pStyle w:val="FootnoteText"/>
      </w:pPr>
      <w:r>
        <w:rPr>
          <w:rStyle w:val="FootnoteReference"/>
        </w:rPr>
        <w:footnoteRef/>
      </w:r>
      <w:r>
        <w:t xml:space="preserve"> Note: Data for this period were not found presented at the same fine scale used for the annual dat</w:t>
      </w:r>
      <w:r w:rsidR="00744900">
        <w:t>a.</w:t>
      </w:r>
    </w:p>
  </w:footnote>
  <w:footnote w:id="3">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6512" w14:textId="129DDED2" w:rsidR="00BE311C" w:rsidRDefault="00BE311C">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5316" w14:textId="77777777" w:rsidR="00337335" w:rsidRDefault="00337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2"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1"/>
  </w:num>
  <w:num w:numId="3" w16cid:durableId="479612300">
    <w:abstractNumId w:val="12"/>
  </w:num>
  <w:num w:numId="4" w16cid:durableId="1664115265">
    <w:abstractNumId w:val="6"/>
  </w:num>
  <w:num w:numId="5" w16cid:durableId="1103527608">
    <w:abstractNumId w:val="16"/>
  </w:num>
  <w:num w:numId="6" w16cid:durableId="1357342375">
    <w:abstractNumId w:val="3"/>
  </w:num>
  <w:num w:numId="7" w16cid:durableId="789082032">
    <w:abstractNumId w:val="10"/>
  </w:num>
  <w:num w:numId="8" w16cid:durableId="765811394">
    <w:abstractNumId w:val="17"/>
  </w:num>
  <w:num w:numId="9" w16cid:durableId="608700396">
    <w:abstractNumId w:val="13"/>
  </w:num>
  <w:num w:numId="10" w16cid:durableId="539168112">
    <w:abstractNumId w:val="7"/>
  </w:num>
  <w:num w:numId="11" w16cid:durableId="1176311516">
    <w:abstractNumId w:val="5"/>
  </w:num>
  <w:num w:numId="12" w16cid:durableId="1095903693">
    <w:abstractNumId w:val="14"/>
  </w:num>
  <w:num w:numId="13" w16cid:durableId="222327235">
    <w:abstractNumId w:val="4"/>
  </w:num>
  <w:num w:numId="14" w16cid:durableId="377241995">
    <w:abstractNumId w:val="6"/>
  </w:num>
  <w:num w:numId="15" w16cid:durableId="289674366">
    <w:abstractNumId w:val="13"/>
    <w:lvlOverride w:ilvl="0">
      <w:startOverride w:val="1"/>
    </w:lvlOverride>
    <w:lvlOverride w:ilvl="1"/>
    <w:lvlOverride w:ilvl="2"/>
    <w:lvlOverride w:ilvl="3"/>
    <w:lvlOverride w:ilvl="4"/>
    <w:lvlOverride w:ilvl="5"/>
    <w:lvlOverride w:ilvl="6"/>
    <w:lvlOverride w:ilvl="7"/>
    <w:lvlOverride w:ilvl="8"/>
  </w:num>
  <w:num w:numId="16" w16cid:durableId="1247106114">
    <w:abstractNumId w:val="7"/>
    <w:lvlOverride w:ilvl="0">
      <w:startOverride w:val="1"/>
    </w:lvlOverride>
    <w:lvlOverride w:ilvl="1"/>
    <w:lvlOverride w:ilvl="2"/>
    <w:lvlOverride w:ilvl="3"/>
    <w:lvlOverride w:ilvl="4"/>
    <w:lvlOverride w:ilvl="5"/>
    <w:lvlOverride w:ilvl="6"/>
    <w:lvlOverride w:ilvl="7"/>
    <w:lvlOverride w:ilvl="8"/>
  </w:num>
  <w:num w:numId="17" w16cid:durableId="11829314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14"/>
  </w:num>
  <w:num w:numId="19" w16cid:durableId="1154297807">
    <w:abstractNumId w:val="1"/>
  </w:num>
  <w:num w:numId="20" w16cid:durableId="193539228">
    <w:abstractNumId w:val="17"/>
  </w:num>
  <w:num w:numId="21" w16cid:durableId="678237059">
    <w:abstractNumId w:val="2"/>
  </w:num>
  <w:num w:numId="22" w16cid:durableId="1611203809">
    <w:abstractNumId w:val="8"/>
  </w:num>
  <w:num w:numId="23" w16cid:durableId="338896594">
    <w:abstractNumId w:val="10"/>
  </w:num>
  <w:num w:numId="24" w16cid:durableId="105390383">
    <w:abstractNumId w:val="9"/>
  </w:num>
  <w:num w:numId="25" w16cid:durableId="150832572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MABC9Hkh9OlYan/CYDda2B3VrraTEKrAZXbVPXrWCdd4OXHgB88u7eD6ms1IwEDlaO5muuOysrh5zOAR2GIjlw==" w:salt="WJrDMHVP7GCvPhudDKEvBA=="/>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BDE"/>
    <w:rsid w:val="00052CC4"/>
    <w:rsid w:val="0005302B"/>
    <w:rsid w:val="000531FC"/>
    <w:rsid w:val="00053380"/>
    <w:rsid w:val="000538E1"/>
    <w:rsid w:val="00053CF6"/>
    <w:rsid w:val="000546E0"/>
    <w:rsid w:val="000546E3"/>
    <w:rsid w:val="000549F7"/>
    <w:rsid w:val="000553D6"/>
    <w:rsid w:val="0005546C"/>
    <w:rsid w:val="00056BA9"/>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0148"/>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365"/>
    <w:rsid w:val="000D4DB7"/>
    <w:rsid w:val="000D5FFF"/>
    <w:rsid w:val="000D6EE5"/>
    <w:rsid w:val="000D77DD"/>
    <w:rsid w:val="000E01D5"/>
    <w:rsid w:val="000E10FE"/>
    <w:rsid w:val="000E1600"/>
    <w:rsid w:val="000E3E7F"/>
    <w:rsid w:val="000E4019"/>
    <w:rsid w:val="000E53B8"/>
    <w:rsid w:val="000E57A0"/>
    <w:rsid w:val="000E758E"/>
    <w:rsid w:val="000F0116"/>
    <w:rsid w:val="000F0599"/>
    <w:rsid w:val="000F1490"/>
    <w:rsid w:val="000F2AC5"/>
    <w:rsid w:val="000F32A5"/>
    <w:rsid w:val="000F3A2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1E4D"/>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63"/>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C8E"/>
    <w:rsid w:val="00212F2C"/>
    <w:rsid w:val="002135C6"/>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63AB"/>
    <w:rsid w:val="002263F8"/>
    <w:rsid w:val="00226E10"/>
    <w:rsid w:val="00227007"/>
    <w:rsid w:val="00230667"/>
    <w:rsid w:val="00230F60"/>
    <w:rsid w:val="0023122C"/>
    <w:rsid w:val="002325F0"/>
    <w:rsid w:val="00232BD7"/>
    <w:rsid w:val="00234484"/>
    <w:rsid w:val="00234C31"/>
    <w:rsid w:val="0023726E"/>
    <w:rsid w:val="00237D79"/>
    <w:rsid w:val="00240D02"/>
    <w:rsid w:val="00243053"/>
    <w:rsid w:val="00243259"/>
    <w:rsid w:val="00244E18"/>
    <w:rsid w:val="00245536"/>
    <w:rsid w:val="00245ECB"/>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25AE"/>
    <w:rsid w:val="002C3A6E"/>
    <w:rsid w:val="002C4C14"/>
    <w:rsid w:val="002C4C8F"/>
    <w:rsid w:val="002C5059"/>
    <w:rsid w:val="002C546A"/>
    <w:rsid w:val="002C5CAC"/>
    <w:rsid w:val="002C70DC"/>
    <w:rsid w:val="002C715E"/>
    <w:rsid w:val="002C7755"/>
    <w:rsid w:val="002D13DC"/>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123"/>
    <w:rsid w:val="0038029F"/>
    <w:rsid w:val="003810A3"/>
    <w:rsid w:val="003816C9"/>
    <w:rsid w:val="00382CEA"/>
    <w:rsid w:val="00384238"/>
    <w:rsid w:val="00385D34"/>
    <w:rsid w:val="0038776C"/>
    <w:rsid w:val="00390065"/>
    <w:rsid w:val="00390FEB"/>
    <w:rsid w:val="00391F11"/>
    <w:rsid w:val="003920CB"/>
    <w:rsid w:val="00392DC6"/>
    <w:rsid w:val="00394CC8"/>
    <w:rsid w:val="0039541F"/>
    <w:rsid w:val="00395CA6"/>
    <w:rsid w:val="00395DAE"/>
    <w:rsid w:val="00395F9A"/>
    <w:rsid w:val="0039612A"/>
    <w:rsid w:val="003968CA"/>
    <w:rsid w:val="0039726D"/>
    <w:rsid w:val="00397BDB"/>
    <w:rsid w:val="00397F59"/>
    <w:rsid w:val="003A0241"/>
    <w:rsid w:val="003A0294"/>
    <w:rsid w:val="003A04D7"/>
    <w:rsid w:val="003A07F7"/>
    <w:rsid w:val="003A0D42"/>
    <w:rsid w:val="003A3F6F"/>
    <w:rsid w:val="003A5C74"/>
    <w:rsid w:val="003A7BE5"/>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2D10"/>
    <w:rsid w:val="003C344B"/>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4D42"/>
    <w:rsid w:val="003F5C1C"/>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05D0E"/>
    <w:rsid w:val="005103D2"/>
    <w:rsid w:val="005105AB"/>
    <w:rsid w:val="005105BF"/>
    <w:rsid w:val="00510A08"/>
    <w:rsid w:val="00510C9B"/>
    <w:rsid w:val="00511931"/>
    <w:rsid w:val="0051271D"/>
    <w:rsid w:val="00514D44"/>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A75A3"/>
    <w:rsid w:val="005B0771"/>
    <w:rsid w:val="005B0B5C"/>
    <w:rsid w:val="005B10F8"/>
    <w:rsid w:val="005B1434"/>
    <w:rsid w:val="005B1750"/>
    <w:rsid w:val="005B1D9A"/>
    <w:rsid w:val="005B1DA2"/>
    <w:rsid w:val="005B20D9"/>
    <w:rsid w:val="005B3308"/>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FF6"/>
    <w:rsid w:val="005C6877"/>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4C4"/>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6401"/>
    <w:rsid w:val="00667171"/>
    <w:rsid w:val="00667181"/>
    <w:rsid w:val="006671D4"/>
    <w:rsid w:val="006676F0"/>
    <w:rsid w:val="00667A00"/>
    <w:rsid w:val="00671C67"/>
    <w:rsid w:val="00672D56"/>
    <w:rsid w:val="00672DFD"/>
    <w:rsid w:val="0067308D"/>
    <w:rsid w:val="00673178"/>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021"/>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00"/>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4987"/>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4D5"/>
    <w:rsid w:val="00896642"/>
    <w:rsid w:val="00896BC2"/>
    <w:rsid w:val="00896D53"/>
    <w:rsid w:val="008977B5"/>
    <w:rsid w:val="00897913"/>
    <w:rsid w:val="008A0ACE"/>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38C"/>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3474"/>
    <w:rsid w:val="00913E8A"/>
    <w:rsid w:val="00914427"/>
    <w:rsid w:val="00915203"/>
    <w:rsid w:val="00915660"/>
    <w:rsid w:val="00915F2D"/>
    <w:rsid w:val="0091670B"/>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EF6"/>
    <w:rsid w:val="00936194"/>
    <w:rsid w:val="00936BF2"/>
    <w:rsid w:val="00937412"/>
    <w:rsid w:val="00937B2E"/>
    <w:rsid w:val="00940301"/>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4A44"/>
    <w:rsid w:val="0096579E"/>
    <w:rsid w:val="00967074"/>
    <w:rsid w:val="009670C5"/>
    <w:rsid w:val="00967380"/>
    <w:rsid w:val="00967A52"/>
    <w:rsid w:val="00970456"/>
    <w:rsid w:val="009709E0"/>
    <w:rsid w:val="00970EA6"/>
    <w:rsid w:val="00971672"/>
    <w:rsid w:val="00971A15"/>
    <w:rsid w:val="00971B1C"/>
    <w:rsid w:val="009727EC"/>
    <w:rsid w:val="00972DD4"/>
    <w:rsid w:val="00973890"/>
    <w:rsid w:val="009748C3"/>
    <w:rsid w:val="0097541E"/>
    <w:rsid w:val="00976D55"/>
    <w:rsid w:val="00977B4D"/>
    <w:rsid w:val="00980470"/>
    <w:rsid w:val="009816F3"/>
    <w:rsid w:val="00981A00"/>
    <w:rsid w:val="00981C45"/>
    <w:rsid w:val="00982260"/>
    <w:rsid w:val="0098295B"/>
    <w:rsid w:val="009831FF"/>
    <w:rsid w:val="00983D58"/>
    <w:rsid w:val="00985903"/>
    <w:rsid w:val="009859A0"/>
    <w:rsid w:val="00985A2D"/>
    <w:rsid w:val="00985E75"/>
    <w:rsid w:val="00985F64"/>
    <w:rsid w:val="0098652A"/>
    <w:rsid w:val="009866A2"/>
    <w:rsid w:val="00987443"/>
    <w:rsid w:val="009903A8"/>
    <w:rsid w:val="00990B54"/>
    <w:rsid w:val="00990FAB"/>
    <w:rsid w:val="009920EE"/>
    <w:rsid w:val="0099234F"/>
    <w:rsid w:val="00992AFE"/>
    <w:rsid w:val="00992D64"/>
    <w:rsid w:val="00993101"/>
    <w:rsid w:val="00993C81"/>
    <w:rsid w:val="009948AF"/>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C1141"/>
    <w:rsid w:val="009C15D3"/>
    <w:rsid w:val="009C3371"/>
    <w:rsid w:val="009C4690"/>
    <w:rsid w:val="009C51D6"/>
    <w:rsid w:val="009C56D2"/>
    <w:rsid w:val="009C5CC8"/>
    <w:rsid w:val="009C5EB4"/>
    <w:rsid w:val="009C63FB"/>
    <w:rsid w:val="009C7106"/>
    <w:rsid w:val="009C7B65"/>
    <w:rsid w:val="009D0892"/>
    <w:rsid w:val="009D1237"/>
    <w:rsid w:val="009D2975"/>
    <w:rsid w:val="009D3A9E"/>
    <w:rsid w:val="009D524E"/>
    <w:rsid w:val="009D5AA1"/>
    <w:rsid w:val="009D5B1C"/>
    <w:rsid w:val="009D60A0"/>
    <w:rsid w:val="009D64DB"/>
    <w:rsid w:val="009D6B73"/>
    <w:rsid w:val="009D7244"/>
    <w:rsid w:val="009E0279"/>
    <w:rsid w:val="009E0780"/>
    <w:rsid w:val="009E0E0E"/>
    <w:rsid w:val="009E1111"/>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16FA"/>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0AF"/>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45D"/>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A0E"/>
    <w:rsid w:val="00C21632"/>
    <w:rsid w:val="00C219BC"/>
    <w:rsid w:val="00C22919"/>
    <w:rsid w:val="00C2343E"/>
    <w:rsid w:val="00C241BF"/>
    <w:rsid w:val="00C2459C"/>
    <w:rsid w:val="00C25593"/>
    <w:rsid w:val="00C2737C"/>
    <w:rsid w:val="00C27608"/>
    <w:rsid w:val="00C27D35"/>
    <w:rsid w:val="00C300E0"/>
    <w:rsid w:val="00C30675"/>
    <w:rsid w:val="00C30B09"/>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851"/>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5A1"/>
    <w:rsid w:val="00CB40F8"/>
    <w:rsid w:val="00CB4760"/>
    <w:rsid w:val="00CB6360"/>
    <w:rsid w:val="00CB67CE"/>
    <w:rsid w:val="00CB6E58"/>
    <w:rsid w:val="00CB764C"/>
    <w:rsid w:val="00CB7D10"/>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4AE"/>
    <w:rsid w:val="00D048A0"/>
    <w:rsid w:val="00D056E7"/>
    <w:rsid w:val="00D064BE"/>
    <w:rsid w:val="00D0675E"/>
    <w:rsid w:val="00D07FD0"/>
    <w:rsid w:val="00D10578"/>
    <w:rsid w:val="00D10EF8"/>
    <w:rsid w:val="00D10FA3"/>
    <w:rsid w:val="00D117EE"/>
    <w:rsid w:val="00D1377E"/>
    <w:rsid w:val="00D14C12"/>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458"/>
    <w:rsid w:val="00D335C4"/>
    <w:rsid w:val="00D337BA"/>
    <w:rsid w:val="00D34260"/>
    <w:rsid w:val="00D34B7D"/>
    <w:rsid w:val="00D34D3F"/>
    <w:rsid w:val="00D35C86"/>
    <w:rsid w:val="00D36EDB"/>
    <w:rsid w:val="00D37CC0"/>
    <w:rsid w:val="00D37F36"/>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195"/>
    <w:rsid w:val="00DF3A7A"/>
    <w:rsid w:val="00DF3D5B"/>
    <w:rsid w:val="00DF46D7"/>
    <w:rsid w:val="00DF4EB2"/>
    <w:rsid w:val="00DF4F60"/>
    <w:rsid w:val="00DF5857"/>
    <w:rsid w:val="00DF64DD"/>
    <w:rsid w:val="00DF6EE3"/>
    <w:rsid w:val="00DF745D"/>
    <w:rsid w:val="00DF76FD"/>
    <w:rsid w:val="00DF7884"/>
    <w:rsid w:val="00DF7B01"/>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F88"/>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1442"/>
    <w:rsid w:val="00EE20F3"/>
    <w:rsid w:val="00EE2692"/>
    <w:rsid w:val="00EE458E"/>
    <w:rsid w:val="00EE462A"/>
    <w:rsid w:val="00EE4973"/>
    <w:rsid w:val="00EE4F6A"/>
    <w:rsid w:val="00EE5273"/>
    <w:rsid w:val="00EE57DB"/>
    <w:rsid w:val="00EE5B69"/>
    <w:rsid w:val="00EF1624"/>
    <w:rsid w:val="00EF1812"/>
    <w:rsid w:val="00EF26E3"/>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CC5"/>
    <w:rsid w:val="00F06D81"/>
    <w:rsid w:val="00F06F07"/>
    <w:rsid w:val="00F071FF"/>
    <w:rsid w:val="00F1018E"/>
    <w:rsid w:val="00F104A9"/>
    <w:rsid w:val="00F10E72"/>
    <w:rsid w:val="00F110D3"/>
    <w:rsid w:val="00F12132"/>
    <w:rsid w:val="00F14739"/>
    <w:rsid w:val="00F14BFB"/>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35D5"/>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87641"/>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60DC"/>
    <w:rsid w:val="00FC6CDE"/>
    <w:rsid w:val="00FC70B2"/>
    <w:rsid w:val="00FC70D9"/>
    <w:rsid w:val="00FC76A4"/>
    <w:rsid w:val="00FC7BA6"/>
    <w:rsid w:val="00FC7F7C"/>
    <w:rsid w:val="00FD09C7"/>
    <w:rsid w:val="00FD0D59"/>
    <w:rsid w:val="00FD2DB9"/>
    <w:rsid w:val="00FD45AE"/>
    <w:rsid w:val="00FD59EA"/>
    <w:rsid w:val="00FD5B06"/>
    <w:rsid w:val="00FD6351"/>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F3046E"/>
    <w:pPr>
      <w:spacing w:before="480" w:after="240"/>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D10578"/>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35278F"/>
    <w:rPr>
      <w:rFonts w:ascii="Century Gothic" w:hAnsi="Century Gothic" w:cs="Arial"/>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35278F"/>
    <w:rPr>
      <w:rFonts w:ascii="Century Gothic" w:hAnsi="Century Gothic" w:cs="Arial"/>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D10578"/>
    <w:rPr>
      <w:rFonts w:ascii="Century Gothic" w:eastAsia="Arial" w:hAnsi="Century Gothic"/>
      <w:b/>
      <w:iCs/>
      <w:sz w:val="24"/>
      <w:szCs w:val="24"/>
    </w:rPr>
  </w:style>
  <w:style w:type="character" w:customStyle="1" w:styleId="Heading1Char">
    <w:name w:val="Heading 1 Char"/>
    <w:link w:val="Heading1"/>
    <w:uiPriority w:val="1"/>
    <w:rsid w:val="00F3046E"/>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xmsolistparagraph">
    <w:name w:val="x_msolistparagraph"/>
    <w:basedOn w:val="Normal"/>
    <w:rsid w:val="00EF26E3"/>
    <w:pPr>
      <w:widowControl/>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54420286">
      <w:bodyDiv w:val="1"/>
      <w:marLeft w:val="0"/>
      <w:marRight w:val="0"/>
      <w:marTop w:val="0"/>
      <w:marBottom w:val="0"/>
      <w:divBdr>
        <w:top w:val="none" w:sz="0" w:space="0" w:color="auto"/>
        <w:left w:val="none" w:sz="0" w:space="0" w:color="auto"/>
        <w:bottom w:val="none" w:sz="0" w:space="0" w:color="auto"/>
        <w:right w:val="none" w:sz="0" w:space="0" w:color="auto"/>
      </w:divBdr>
    </w:div>
    <w:div w:id="172647417">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4090">
      <w:bodyDiv w:val="1"/>
      <w:marLeft w:val="0"/>
      <w:marRight w:val="0"/>
      <w:marTop w:val="0"/>
      <w:marBottom w:val="0"/>
      <w:divBdr>
        <w:top w:val="none" w:sz="0" w:space="0" w:color="auto"/>
        <w:left w:val="none" w:sz="0" w:space="0" w:color="auto"/>
        <w:bottom w:val="none" w:sz="0" w:space="0" w:color="auto"/>
        <w:right w:val="none" w:sz="0" w:space="0" w:color="auto"/>
      </w:divBdr>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66684480">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234655586">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375812436">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53591670">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1132083">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21917515">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50549220">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chrome-extension://efaidnbmnnnibpcajpcglclefindmkaj/https:/bof.fire.ca.gov/media/i03nnlfg/meadow-restoration-effectiveness-bof-emc-surfleet-2023.pdf" TargetMode="External"/><Relationship Id="rId21" Type="http://schemas.openxmlformats.org/officeDocument/2006/relationships/hyperlink" Target="https://bof.fire.ca.gov/media/y3kfq140/research-themes-and-critical-monitoring-questions-final_ada.pdf" TargetMode="External"/><Relationship Id="rId42" Type="http://schemas.openxmlformats.org/officeDocument/2006/relationships/hyperlink" Target="https://www.osti.gov/servlets/purl/1459143" TargetMode="External"/><Relationship Id="rId47" Type="http://schemas.openxmlformats.org/officeDocument/2006/relationships/hyperlink" Target="http://cdec.water.ca.gov/snowapp/sweq.action" TargetMode="External"/><Relationship Id="rId63" Type="http://schemas.openxmlformats.org/officeDocument/2006/relationships/hyperlink" Target="https://www.researchgate.net/publication/335149799_Exemption_and_Emergency_Notice_Monitoring_Pilot_Project_Report" TargetMode="External"/><Relationship Id="rId68" Type="http://schemas.openxmlformats.org/officeDocument/2006/relationships/hyperlink" Target="https://bof.fire.ca.gov/media/0wmlbt05/california-forestry-report-7-post-fire-salvage-logging.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bof.fire.ca.gov/media/4najhupx/3-8-23-bof-cnc-carbon-reduction-in-cement-final-report_ada.pdf" TargetMode="External"/><Relationship Id="rId11" Type="http://schemas.openxmlformats.org/officeDocument/2006/relationships/image" Target="media/image1.png"/><Relationship Id="rId24" Type="http://schemas.openxmlformats.org/officeDocument/2006/relationships/hyperlink" Target="https://bof.fire.ca.gov/media/b3npaufh/5-emc-2017-002-s-stanish-presentation_ada.pdf" TargetMode="External"/><Relationship Id="rId32" Type="http://schemas.openxmlformats.org/officeDocument/2006/relationships/header" Target="header5.xml"/><Relationship Id="rId37" Type="http://schemas.openxmlformats.org/officeDocument/2006/relationships/image" Target="media/image2.png"/><Relationship Id="rId40" Type="http://schemas.openxmlformats.org/officeDocument/2006/relationships/hyperlink" Target="https://bof.fire.ca.gov/projects-and-programs/calvtp/environmental-documentation-for-approved-projects/" TargetMode="External"/><Relationship Id="rId45" Type="http://schemas.openxmlformats.org/officeDocument/2006/relationships/hyperlink" Target="https://bof.fire.ca.gov/media/tebleryj/6-emc-2019-003-project-update_ada.pdf.%20Accessed%2007%20December%202022" TargetMode="External"/><Relationship Id="rId53" Type="http://schemas.openxmlformats.org/officeDocument/2006/relationships/hyperlink" Target="https://bof.fire.ca.gov/media/svnob5j0/6-emc-2017-008-final-report-april-2022_ada.pdf/" TargetMode="External"/><Relationship Id="rId58" Type="http://schemas.openxmlformats.org/officeDocument/2006/relationships/hyperlink" Target="mailto:Pete.Cafferata@fire.ca.gov" TargetMode="External"/><Relationship Id="rId66" Type="http://schemas.openxmlformats.org/officeDocument/2006/relationships/hyperlink" Target="https://bof.fire.ca.gov/media/apwdsg2b/5-emc-2016-003-project-update_ada.pdf.%20Accessed%2007%20December%202022" TargetMode="External"/><Relationship Id="rId5" Type="http://schemas.openxmlformats.org/officeDocument/2006/relationships/numbering" Target="numbering.xml"/><Relationship Id="rId61" Type="http://schemas.openxmlformats.org/officeDocument/2006/relationships/hyperlink" Target="https://bof.fire.ca.gov/media/xqwp5z5p/8a-emc-2019-002-final-presentation_ada.pdf" TargetMode="External"/><Relationship Id="rId19" Type="http://schemas.openxmlformats.org/officeDocument/2006/relationships/hyperlink" Target="https://gcc02.safelinks.protection.outlook.com/?url=https%3A%2F%2Fleginfo.legislature.ca.gov%2Ffaces%2FbillTextClient.xhtml%3Fbill_id%3D202120220AB1757%23%3A~%3Atext%3DAB%25201757%252C%2520Cristina%25C2%25A0Garcia.%2520California%2520Global%2520Warming%2520Solutions%2520Act%2Cfor%2520monitoring%2520and%2520regulating%2520sources%2520emitting%2520greenhouse%2520gases.&amp;data=05%7C01%7C%7C703e17f9908a40b236d408db02fa9065%7Cb71d56524b834257afcd7fd177884564%7C0%7C0%7C638107047418604258%7CUnknown%7CTWFpbGZsb3d8eyJWIjoiMC4wLjAwMDAiLCJQIjoiV2luMzIiLCJBTiI6Ik1haWwiLCJXVCI6Mn0%3D%7C3000%7C%7C%7C&amp;sdata=rcWGWIN8pQjDUGY8LlIPbSCuDELR7q6Si0dwuiuBE7U%3D&amp;reserved=0" TargetMode="External"/><Relationship Id="rId14" Type="http://schemas.openxmlformats.org/officeDocument/2006/relationships/header" Target="header2.xml"/><Relationship Id="rId22" Type="http://schemas.openxmlformats.org/officeDocument/2006/relationships/hyperlink" Target="https://bof.fire.ca.gov/media/x2hpdun1/4-emc-2023-002-full-sig_redacted_ada.pdf" TargetMode="External"/><Relationship Id="rId27" Type="http://schemas.openxmlformats.org/officeDocument/2006/relationships/hyperlink" Target="https://bof.fire.ca.gov/media/fbplcgwm/california-forest-biomass-pile-data-collection_adamfk.pdf" TargetMode="External"/><Relationship Id="rId30" Type="http://schemas.openxmlformats.org/officeDocument/2006/relationships/hyperlink" Target="https://bof.fire.ca.gov/media/nu2pwsft/cnc-and-plc-outreach-document_osu_final-3-27-23_ada.pdf" TargetMode="External"/><Relationship Id="rId35" Type="http://schemas.openxmlformats.org/officeDocument/2006/relationships/hyperlink" Target="https://www.fs.usda.gov/Internet/FSE_DOCUMENTS/fseprd1098391.pdf" TargetMode="External"/><Relationship Id="rId43" Type="http://schemas.openxmlformats.org/officeDocument/2006/relationships/hyperlink" Target="https://bof.fire.ca.gov/media/ytzh1tsb/4-emc-2017-012-m-baker-2022-09-28_ada.pdf.%20Accessed%2007%20December%202022" TargetMode="External"/><Relationship Id="rId48" Type="http://schemas.openxmlformats.org/officeDocument/2006/relationships/hyperlink" Target="https://water.ca.gov/Programs/Flood-Management/Flood-Data/Snow-Surveys" TargetMode="External"/><Relationship Id="rId56" Type="http://schemas.openxmlformats.org/officeDocument/2006/relationships/hyperlink" Target="https://frap.fire.ca.gov/media/3180/assessment2017.pdf" TargetMode="External"/><Relationship Id="rId64" Type="http://schemas.openxmlformats.org/officeDocument/2006/relationships/hyperlink" Target="https://bof.fire.ca.gov/media/dvlputmk/full-10-e-exemption-and-emergency-monitoring-report_ada.pdf" TargetMode="External"/><Relationship Id="rId69" Type="http://schemas.openxmlformats.org/officeDocument/2006/relationships/hyperlink" Target="https://bof.fire.ca.gov/media/c1qlu5uw/8-emc-2017-008-cobb-cra-sept-2022-draft_ada.pdf" TargetMode="External"/><Relationship Id="rId8" Type="http://schemas.openxmlformats.org/officeDocument/2006/relationships/webSettings" Target="webSettings.xml"/><Relationship Id="rId51" Type="http://schemas.openxmlformats.org/officeDocument/2006/relationships/hyperlink" Target="https://gcc02.safelinks.protection.outlook.com/?url=https%3A%2F%2Fdoi.org%2F10.1016%2Fj.jhydrol.2019.05.038&amp;data=05%7C02%7Cedith.hannigan%40bof.ca.gov%7C8d46fdc26b59422ba06108dc8b162efc%7C447a4ca05405454dad68c98a520261f8%7C1%7C0%7C638538174700529829%7CUnknown%7CTWFpbGZsb3d8eyJWIjoiMC4wLjAwMDAiLCJQIjoiV2luMzIiLCJBTiI6Ik1haWwiLCJXVCI6Mn0%3D%7C0%7C%7C%7C&amp;sdata=69JhJNY64VNl%2FrzeI1FBPA0Pf8c2%2B6k7RkuwLV%2BRuLY%3D&amp;reserved=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34c031f8-c9fd-4018-8c5a-4159cdff6b0d-cdn-endpoint.azureedge.net/-/media/calfire-website/about/communications/fuels-reduction-guide-final-2021-print.pdf?rev=63b681f392f347d1979664b5242a11e9&amp;hash=E5056EFCFCD9660AE29D6D577D01E9BC" TargetMode="External"/><Relationship Id="rId25" Type="http://schemas.openxmlformats.org/officeDocument/2006/relationships/hyperlink" Target="https://bof.fire.ca.gov/media/rpoa3d5d/8-emc-2017-006-r-york-presentation_ada.pdf" TargetMode="External"/><Relationship Id="rId33" Type="http://schemas.openxmlformats.org/officeDocument/2006/relationships/header" Target="header6.xml"/><Relationship Id="rId38" Type="http://schemas.openxmlformats.org/officeDocument/2006/relationships/image" Target="media/image3.png"/><Relationship Id="rId46" Type="http://schemas.openxmlformats.org/officeDocument/2006/relationships/hyperlink" Target="https://www.cdfa.ca.gov/statistics/PDFs/2017-18AgReport.pdf" TargetMode="External"/><Relationship Id="rId59" Type="http://schemas.openxmlformats.org/officeDocument/2006/relationships/hyperlink" Target="https://www.fs.usda.gov/treesearch/pubs/58601" TargetMode="External"/><Relationship Id="rId67" Type="http://schemas.openxmlformats.org/officeDocument/2006/relationships/hyperlink" Target="https://droughtmonitor.unl.edu/Summary.aspx" TargetMode="External"/><Relationship Id="rId20" Type="http://schemas.openxmlformats.org/officeDocument/2006/relationships/hyperlink" Target="https://bof.fire.ca.gov/media/vl2mg1kv/emc-members-and-term-exp_webpage-2024-01.pdf" TargetMode="External"/><Relationship Id="rId41"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54" Type="http://schemas.openxmlformats.org/officeDocument/2006/relationships/hyperlink" Target="https://bof.fire.ca.gov/media/ciabsyel/7-final-project-presentation-emc-2017-001-dahlke.pdf.%20Accessed%2007%20December%202022" TargetMode="External"/><Relationship Id="rId62" Type="http://schemas.openxmlformats.org/officeDocument/2006/relationships/hyperlink" Target="https://www.ncdc.noaa.gov/temp-and-precip/us-maps/" TargetMode="External"/><Relationship Id="rId70" Type="http://schemas.openxmlformats.org/officeDocument/2006/relationships/hyperlink" Target="https://bof.fire.ca.gov/media/zuwl1hrj/6-emc-2017-008-draft-cra-nov-20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media/jm3hebar/4-emc-2023-003-full-osu_redacted_ada.pdf" TargetMode="External"/><Relationship Id="rId28" Type="http://schemas.openxmlformats.org/officeDocument/2006/relationships/hyperlink" Target="https://bof.fire.ca.gov/media/npynwgd2/california-forest-biomass-pile-data-collection-appendices_adamfk.pdf" TargetMode="External"/><Relationship Id="rId36" Type="http://schemas.openxmlformats.org/officeDocument/2006/relationships/hyperlink" Target="http://caforestpestcouncil.org/" TargetMode="External"/><Relationship Id="rId49" Type="http://schemas.openxmlformats.org/officeDocument/2006/relationships/hyperlink" Target="https://www.fs.usda.gov/Internet/FSE_DOCUMENTS/fseprd736355.pdf" TargetMode="External"/><Relationship Id="rId57" Type="http://schemas.openxmlformats.org/officeDocument/2006/relationships/hyperlink" Target="http://resources.ca.gov/wp-content/uploads/2018/05/California-Forest-Carbon-Plan-Final-Draft-for-Public-Release-May-2018.pdf" TargetMode="External"/><Relationship Id="rId10" Type="http://schemas.openxmlformats.org/officeDocument/2006/relationships/endnotes" Target="endnotes.xml"/><Relationship Id="rId31" Type="http://schemas.openxmlformats.org/officeDocument/2006/relationships/hyperlink" Target="https://bof.fire.ca.gov/media/04hjadxs/joint-institute-white-fir-clt-testing-project-and-addendum_final-report_3-8-23_ada.pdf" TargetMode="External"/><Relationship Id="rId44" Type="http://schemas.openxmlformats.org/officeDocument/2006/relationships/hyperlink" Target="https://bof.fire.ca.gov/media/iqkjg0j1/9-battles-emc-2017-007-presentation_ada.pdf" TargetMode="External"/><Relationship Id="rId52" Type="http://schemas.openxmlformats.org/officeDocument/2006/relationships/hyperlink" Target="http://caforestpestcouncil.org/" TargetMode="External"/><Relationship Id="rId60" Type="http://schemas.openxmlformats.org/officeDocument/2006/relationships/hyperlink" Target="https://www.fs.usda.gov/treesearch/pubs/58482" TargetMode="External"/><Relationship Id="rId65" Type="http://schemas.openxmlformats.org/officeDocument/2006/relationships/hyperlink" Target="https://www.researchgate.net/publication/324337489_California_Chaparral_and_Its_Global_Significan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of.fire.ca.gov/media/7208/white-paper.pdf" TargetMode="External"/><Relationship Id="rId39" Type="http://schemas.openxmlformats.org/officeDocument/2006/relationships/image" Target="media/image4.png"/><Relationship Id="rId34" Type="http://schemas.openxmlformats.org/officeDocument/2006/relationships/header" Target="header7.xml"/><Relationship Id="rId50" Type="http://schemas.openxmlformats.org/officeDocument/2006/relationships/hyperlink" Target="https://gcc02.safelinks.protection.outlook.com/?url=https%3A%2F%2Fdoi.org%2F10.1002%2Fhyp.13997&amp;data=05%7C02%7Cedith.hannigan%40bof.ca.gov%7C8d46fdc26b59422ba06108dc8b162efc%7C447a4ca05405454dad68c98a520261f8%7C1%7C0%7C638538174700522235%7CUnknown%7CTWFpbGZsb3d8eyJWIjoiMC4wLjAwMDAiLCJQIjoiV2luMzIiLCJBTiI6Ik1haWwiLCJXVCI6Mn0%3D%7C0%7C%7C%7C&amp;sdata=RFBmPEl%2Bn0dMZjlgY2eT9XhD2IDApt6trDz9nDxgAj0%3D&amp;reserved=0" TargetMode="External"/><Relationship Id="rId55" Type="http://schemas.openxmlformats.org/officeDocument/2006/relationships/hyperlink" Target="https://bof.fire.ca.gov/board-committees/effectiveness-monitoring-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3.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4.xml><?xml version="1.0" encoding="utf-8"?>
<ds:datastoreItem xmlns:ds="http://schemas.openxmlformats.org/officeDocument/2006/customXml" ds:itemID="{46BB664D-93DA-480A-89E8-7537BCB119F9}">
  <ds:schemaRefs>
    <ds:schemaRef ds:uri="http://schemas.microsoft.com/office/2006/metadata/properties"/>
    <ds:schemaRef ds:uri="http://www.w3.org/XML/1998/namespace"/>
    <ds:schemaRef ds:uri="http://purl.org/dc/elements/1.1/"/>
    <ds:schemaRef ds:uri="http://schemas.openxmlformats.org/package/2006/metadata/core-properties"/>
    <ds:schemaRef ds:uri="ada8807a-ea27-40c7-9a72-6c1272ce93f2"/>
    <ds:schemaRef ds:uri="http://schemas.microsoft.com/office/2006/documentManagement/types"/>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46</Pages>
  <Words>13913</Words>
  <Characters>79305</Characters>
  <Application>Microsoft Office Word</Application>
  <DocSecurity>8</DocSecurity>
  <Lines>660</Lines>
  <Paragraphs>186</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5</cp:revision>
  <cp:lastPrinted>2023-03-20T18:45:00Z</cp:lastPrinted>
  <dcterms:created xsi:type="dcterms:W3CDTF">2024-06-12T18:22:00Z</dcterms:created>
  <dcterms:modified xsi:type="dcterms:W3CDTF">2024-06-13T15:10:00Z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