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E2891" w14:textId="77777777" w:rsidR="00212126" w:rsidRDefault="00212126" w:rsidP="00212126">
      <w:pPr>
        <w:spacing w:after="0"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022AFD09" w:rsidR="00212126" w:rsidRDefault="0051601F" w:rsidP="00212126">
      <w:pPr>
        <w:spacing w:after="0" w:line="508" w:lineRule="exact"/>
        <w:jc w:val="center"/>
        <w:rPr>
          <w:rFonts w:ascii="Arial" w:hAnsi="Arial" w:cs="Arial"/>
          <w:b/>
          <w:sz w:val="24"/>
          <w:szCs w:val="24"/>
          <w:u w:val="single"/>
        </w:rPr>
      </w:pPr>
      <w:r w:rsidRPr="0051601F">
        <w:rPr>
          <w:rFonts w:ascii="Arial" w:hAnsi="Arial" w:cs="Arial"/>
          <w:b/>
          <w:color w:val="0F9ED5" w:themeColor="accent4"/>
          <w:sz w:val="24"/>
          <w:szCs w:val="24"/>
          <w:u w:val="single"/>
        </w:rPr>
        <w:t>Geographically</w:t>
      </w:r>
      <w:r>
        <w:rPr>
          <w:rFonts w:ascii="Arial" w:hAnsi="Arial" w:cs="Arial"/>
          <w:b/>
          <w:sz w:val="24"/>
          <w:szCs w:val="24"/>
          <w:u w:val="single"/>
        </w:rPr>
        <w:t xml:space="preserve"> </w:t>
      </w:r>
      <w:r w:rsidR="00212126">
        <w:rPr>
          <w:rFonts w:ascii="Arial" w:hAnsi="Arial" w:cs="Arial"/>
          <w:b/>
          <w:sz w:val="24"/>
          <w:szCs w:val="24"/>
          <w:u w:val="single"/>
        </w:rPr>
        <w:t>Overlapping Harvesting</w:t>
      </w:r>
      <w:r w:rsidR="00A746AC">
        <w:rPr>
          <w:rFonts w:ascii="Arial" w:hAnsi="Arial" w:cs="Arial"/>
          <w:b/>
          <w:sz w:val="24"/>
          <w:szCs w:val="24"/>
          <w:u w:val="single"/>
        </w:rPr>
        <w:t xml:space="preserve"> Permits</w:t>
      </w:r>
      <w:r w:rsidR="00212126">
        <w:rPr>
          <w:rFonts w:ascii="Arial" w:hAnsi="Arial" w:cs="Arial"/>
          <w:b/>
          <w:sz w:val="24"/>
          <w:szCs w:val="24"/>
          <w:u w:val="single"/>
        </w:rPr>
        <w:t xml:space="preserve"> </w:t>
      </w:r>
    </w:p>
    <w:p w14:paraId="41FB6E70" w14:textId="77777777" w:rsidR="00212126" w:rsidRDefault="00212126" w:rsidP="00212126">
      <w:pPr>
        <w:spacing w:after="0" w:line="508" w:lineRule="exact"/>
        <w:jc w:val="center"/>
        <w:rPr>
          <w:rFonts w:ascii="Arial" w:hAnsi="Arial" w:cs="Arial"/>
          <w:b/>
          <w:sz w:val="24"/>
          <w:szCs w:val="24"/>
        </w:rPr>
      </w:pPr>
      <w:bookmarkStart w:id="0" w:name="_Hlk41917645"/>
      <w:r>
        <w:rPr>
          <w:rFonts w:ascii="Arial" w:hAnsi="Arial" w:cs="Arial"/>
          <w:b/>
          <w:sz w:val="24"/>
          <w:szCs w:val="24"/>
        </w:rPr>
        <w:t>Title 14 of the California Code of Regulations</w:t>
      </w:r>
    </w:p>
    <w:p w14:paraId="65C88412" w14:textId="77777777" w:rsidR="00212126" w:rsidRDefault="00212126" w:rsidP="00212126">
      <w:pPr>
        <w:spacing w:after="0"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after="0" w:line="508" w:lineRule="exact"/>
        <w:jc w:val="center"/>
        <w:rPr>
          <w:rFonts w:ascii="Arial" w:hAnsi="Arial" w:cs="Arial"/>
          <w:b/>
          <w:sz w:val="24"/>
          <w:szCs w:val="24"/>
        </w:rPr>
      </w:pPr>
      <w:r>
        <w:rPr>
          <w:rFonts w:ascii="Arial" w:hAnsi="Arial" w:cs="Arial"/>
          <w:b/>
          <w:sz w:val="24"/>
          <w:szCs w:val="24"/>
        </w:rPr>
        <w:t xml:space="preserve">Subchapter </w:t>
      </w:r>
      <w:bookmarkEnd w:id="0"/>
      <w:r w:rsidR="00FF1E88">
        <w:rPr>
          <w:rFonts w:ascii="Arial" w:hAnsi="Arial" w:cs="Arial"/>
          <w:b/>
          <w:sz w:val="24"/>
          <w:szCs w:val="24"/>
        </w:rPr>
        <w:t>7</w:t>
      </w:r>
    </w:p>
    <w:p w14:paraId="46BF206E" w14:textId="26BF2354" w:rsidR="00EB6ECE" w:rsidRDefault="00D34F03" w:rsidP="00EB6ECE">
      <w:pPr>
        <w:spacing w:after="0" w:line="508" w:lineRule="exact"/>
        <w:jc w:val="center"/>
        <w:rPr>
          <w:rFonts w:ascii="Arial" w:hAnsi="Arial" w:cs="Arial"/>
          <w:b/>
          <w:sz w:val="24"/>
          <w:szCs w:val="24"/>
        </w:rPr>
      </w:pPr>
      <w:r>
        <w:rPr>
          <w:rFonts w:ascii="Arial" w:hAnsi="Arial" w:cs="Arial"/>
          <w:b/>
          <w:sz w:val="24"/>
          <w:szCs w:val="24"/>
        </w:rPr>
        <w:t>1038, 1038.1, 1038.3</w:t>
      </w:r>
    </w:p>
    <w:p w14:paraId="604FE25C" w14:textId="77ECF538" w:rsidR="006900B3" w:rsidRPr="00A35B1B" w:rsidRDefault="006900B3" w:rsidP="006900B3">
      <w:pPr>
        <w:spacing w:after="0" w:line="508" w:lineRule="exact"/>
        <w:rPr>
          <w:rFonts w:ascii="Arial" w:hAnsi="Arial" w:cs="Arial"/>
          <w:sz w:val="24"/>
          <w:szCs w:val="24"/>
        </w:rPr>
      </w:pPr>
      <w:r w:rsidRPr="00A35B1B">
        <w:rPr>
          <w:rFonts w:ascii="Arial" w:hAnsi="Arial" w:cs="Arial"/>
          <w:b/>
          <w:bCs/>
        </w:rPr>
        <w:t>1038 Exemption</w:t>
      </w:r>
    </w:p>
    <w:p w14:paraId="00D7393C" w14:textId="76EC6BFC" w:rsidR="006900B3" w:rsidRPr="00732520" w:rsidRDefault="00FF1E88" w:rsidP="00732520">
      <w:pPr>
        <w:numPr>
          <w:ilvl w:val="0"/>
          <w:numId w:val="1"/>
        </w:numPr>
        <w:spacing w:line="508" w:lineRule="exact"/>
        <w:rPr>
          <w:rFonts w:ascii="Arial" w:hAnsi="Arial" w:cs="Arial"/>
          <w:sz w:val="24"/>
          <w:szCs w:val="24"/>
        </w:rPr>
      </w:pPr>
      <w:r w:rsidRPr="00A35B1B">
        <w:rPr>
          <w:rFonts w:ascii="Arial" w:hAnsi="Arial" w:cs="Arial"/>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w:t>
      </w:r>
      <w:r w:rsidR="00DA253A" w:rsidRPr="003178E9">
        <w:rPr>
          <w:rFonts w:ascii="Arial" w:hAnsi="Arial" w:cs="Arial"/>
          <w:color w:val="0F9ED5" w:themeColor="accent4"/>
          <w:sz w:val="24"/>
          <w:szCs w:val="24"/>
          <w:u w:val="single"/>
        </w:rPr>
        <w:t xml:space="preserve">or until </w:t>
      </w:r>
      <w:r w:rsidR="00DA253A" w:rsidRPr="00FA142F">
        <w:rPr>
          <w:rFonts w:ascii="Arial" w:hAnsi="Arial" w:cs="Arial"/>
          <w:strike/>
          <w:color w:val="0F9ED5" w:themeColor="accent4"/>
          <w:sz w:val="24"/>
          <w:szCs w:val="24"/>
          <w:u w:val="single"/>
        </w:rPr>
        <w:t>plan</w:t>
      </w:r>
      <w:r w:rsidR="00FA142F">
        <w:rPr>
          <w:rFonts w:ascii="Arial" w:hAnsi="Arial" w:cs="Arial"/>
          <w:color w:val="0F9ED5" w:themeColor="accent4"/>
          <w:sz w:val="24"/>
          <w:szCs w:val="24"/>
          <w:u w:val="single"/>
        </w:rPr>
        <w:t xml:space="preserve"> </w:t>
      </w:r>
      <w:r w:rsidR="00FA142F">
        <w:rPr>
          <w:rFonts w:ascii="Arial" w:hAnsi="Arial" w:cs="Arial"/>
          <w:color w:val="00B050"/>
          <w:sz w:val="24"/>
          <w:szCs w:val="24"/>
          <w:u w:val="single"/>
        </w:rPr>
        <w:t>the</w:t>
      </w:r>
      <w:r w:rsidR="00DA253A" w:rsidRPr="003178E9">
        <w:rPr>
          <w:rFonts w:ascii="Arial" w:hAnsi="Arial" w:cs="Arial"/>
          <w:color w:val="0F9ED5" w:themeColor="accent4"/>
          <w:sz w:val="24"/>
          <w:szCs w:val="24"/>
          <w:u w:val="single"/>
        </w:rPr>
        <w:t xml:space="preserve"> submitter notifies the director of the termination of operations</w:t>
      </w:r>
      <w:r w:rsidR="00911361" w:rsidRPr="003178E9">
        <w:rPr>
          <w:rFonts w:ascii="Arial" w:hAnsi="Arial" w:cs="Arial"/>
          <w:color w:val="0F9ED5" w:themeColor="accent4"/>
          <w:sz w:val="24"/>
          <w:szCs w:val="24"/>
          <w:u w:val="single"/>
        </w:rPr>
        <w:t xml:space="preserve">, </w:t>
      </w:r>
      <w:r w:rsidR="00911361" w:rsidRPr="00911361">
        <w:rPr>
          <w:rFonts w:ascii="Arial" w:hAnsi="Arial" w:cs="Arial"/>
          <w:color w:val="0F9ED5" w:themeColor="accent4"/>
          <w:sz w:val="24"/>
          <w:szCs w:val="24"/>
          <w:u w:val="single"/>
        </w:rPr>
        <w:t>whichever occurs sooner</w:t>
      </w:r>
      <w:r w:rsidR="00DA253A" w:rsidRPr="00911361">
        <w:rPr>
          <w:rFonts w:ascii="Arial" w:hAnsi="Arial" w:cs="Arial"/>
          <w:color w:val="0F9ED5" w:themeColor="accent4"/>
          <w:sz w:val="24"/>
          <w:szCs w:val="24"/>
        </w:rPr>
        <w:t xml:space="preserve"> </w:t>
      </w:r>
      <w:r w:rsidRPr="00A35B1B">
        <w:rPr>
          <w:rFonts w:ascii="Arial" w:hAnsi="Arial" w:cs="Arial"/>
          <w:sz w:val="24"/>
          <w:szCs w:val="24"/>
        </w:rPr>
        <w:t>and shall comply with all operational provisions of the FPA and District Forest Practices Rules applicable to “Timber Harvest Plan”, “THP”, and “Plan” definitions per 14 CCR § 895.1.</w:t>
      </w:r>
      <w:r w:rsidR="000B1BEF" w:rsidRPr="00A35B1B">
        <w:rPr>
          <w:rFonts w:ascii="Arial" w:hAnsi="Arial" w:cs="Arial"/>
          <w:i/>
          <w:iCs/>
          <w:sz w:val="24"/>
          <w:szCs w:val="24"/>
        </w:rPr>
        <w:t xml:space="preserve"> </w:t>
      </w:r>
      <w:bookmarkStart w:id="1" w:name="_Hlk176272872"/>
      <w:r w:rsidR="00574A15">
        <w:rPr>
          <w:rFonts w:ascii="Arial" w:hAnsi="Arial" w:cs="Arial"/>
          <w:color w:val="0F9ED5" w:themeColor="accent4"/>
          <w:sz w:val="24"/>
          <w:szCs w:val="24"/>
          <w:u w:val="single"/>
        </w:rPr>
        <w:t xml:space="preserve">Exemption permits authorized by this section shall not have a harvest area that geographically overlaps with the harvest area of another non-expired harvest permit </w:t>
      </w:r>
      <w:r w:rsidR="00574A15" w:rsidRPr="00FA142F">
        <w:rPr>
          <w:rFonts w:ascii="Arial" w:hAnsi="Arial" w:cs="Arial"/>
          <w:strike/>
          <w:color w:val="0F9ED5" w:themeColor="accent4"/>
          <w:sz w:val="24"/>
          <w:szCs w:val="24"/>
          <w:u w:val="single"/>
        </w:rPr>
        <w:t>approved or accepted by the department</w:t>
      </w:r>
      <w:r w:rsidR="00574A15">
        <w:rPr>
          <w:rFonts w:ascii="Arial" w:hAnsi="Arial" w:cs="Arial"/>
          <w:color w:val="0F9ED5" w:themeColor="accent4"/>
          <w:sz w:val="24"/>
          <w:szCs w:val="24"/>
          <w:u w:val="single"/>
        </w:rPr>
        <w:t xml:space="preserve">, with the exception of an approved NTMP or WFMP or an exemption permit issued pursuant to 14 CCR 1104.1  </w:t>
      </w:r>
      <w:bookmarkEnd w:id="1"/>
      <w:r w:rsidR="000B1BEF" w:rsidRPr="00073129">
        <w:rPr>
          <w:rFonts w:ascii="Arial" w:hAnsi="Arial" w:cs="Arial"/>
          <w:strike/>
          <w:color w:val="FF0000"/>
          <w:sz w:val="24"/>
          <w:szCs w:val="24"/>
          <w:u w:val="single"/>
        </w:rPr>
        <w:t>Where</w:t>
      </w:r>
      <w:r w:rsidR="000B1BEF" w:rsidRPr="003178E9">
        <w:rPr>
          <w:rFonts w:ascii="Arial" w:hAnsi="Arial" w:cs="Arial"/>
          <w:strike/>
          <w:color w:val="0F9ED5" w:themeColor="accent4"/>
          <w:sz w:val="24"/>
          <w:szCs w:val="24"/>
          <w:u w:val="single"/>
        </w:rPr>
        <w:t xml:space="preserve"> </w:t>
      </w:r>
      <w:r w:rsidR="00DA253A" w:rsidRPr="003178E9">
        <w:rPr>
          <w:rFonts w:ascii="Arial" w:hAnsi="Arial" w:cs="Arial"/>
          <w:strike/>
          <w:color w:val="0F9ED5" w:themeColor="accent4"/>
          <w:sz w:val="24"/>
          <w:szCs w:val="24"/>
          <w:u w:val="single"/>
        </w:rPr>
        <w:t>active</w:t>
      </w:r>
      <w:r w:rsidR="00BA3D67" w:rsidRPr="003178E9">
        <w:rPr>
          <w:rFonts w:ascii="Arial" w:hAnsi="Arial" w:cs="Arial"/>
          <w:strike/>
          <w:color w:val="0F9ED5" w:themeColor="accent4"/>
          <w:sz w:val="24"/>
          <w:szCs w:val="24"/>
          <w:u w:val="single"/>
        </w:rPr>
        <w:t xml:space="preserve"> </w:t>
      </w:r>
      <w:r w:rsidR="00BA3D67" w:rsidRPr="00073129">
        <w:rPr>
          <w:rFonts w:ascii="Arial" w:hAnsi="Arial" w:cs="Arial"/>
          <w:strike/>
          <w:color w:val="0F9ED5" w:themeColor="accent4"/>
          <w:sz w:val="24"/>
          <w:szCs w:val="24"/>
          <w:u w:val="single"/>
        </w:rPr>
        <w:t xml:space="preserve">currently </w:t>
      </w:r>
      <w:r w:rsidR="00574A15" w:rsidRPr="00073129">
        <w:rPr>
          <w:rFonts w:ascii="Arial" w:hAnsi="Arial" w:cs="Arial"/>
          <w:strike/>
          <w:color w:val="0F9ED5" w:themeColor="accent4"/>
          <w:sz w:val="24"/>
          <w:szCs w:val="24"/>
          <w:u w:val="single"/>
        </w:rPr>
        <w:t>approved or</w:t>
      </w:r>
      <w:r w:rsidR="00BA3D67" w:rsidRPr="00073129">
        <w:rPr>
          <w:rFonts w:ascii="Arial" w:hAnsi="Arial" w:cs="Arial"/>
          <w:strike/>
          <w:color w:val="0F9ED5" w:themeColor="accent4"/>
          <w:sz w:val="24"/>
          <w:szCs w:val="24"/>
          <w:u w:val="single"/>
        </w:rPr>
        <w:t xml:space="preserve"> accepted</w:t>
      </w:r>
      <w:r w:rsidR="00574A15" w:rsidRPr="00073129">
        <w:rPr>
          <w:rFonts w:ascii="Arial" w:hAnsi="Arial" w:cs="Arial"/>
          <w:strike/>
          <w:color w:val="0F9ED5" w:themeColor="accent4"/>
          <w:sz w:val="24"/>
          <w:szCs w:val="24"/>
          <w:u w:val="single"/>
        </w:rPr>
        <w:t>.</w:t>
      </w:r>
      <w:r w:rsidR="00DA253A" w:rsidRPr="00073129">
        <w:rPr>
          <w:rFonts w:ascii="Arial" w:hAnsi="Arial" w:cs="Arial"/>
          <w:strike/>
          <w:color w:val="4EA72E" w:themeColor="accent6"/>
          <w:sz w:val="24"/>
          <w:szCs w:val="24"/>
          <w:u w:val="single"/>
        </w:rPr>
        <w:t xml:space="preserve"> </w:t>
      </w:r>
      <w:r w:rsidR="000B1BEF" w:rsidRPr="00073129">
        <w:rPr>
          <w:rFonts w:ascii="Arial" w:hAnsi="Arial" w:cs="Arial"/>
          <w:strike/>
          <w:color w:val="FF0000"/>
          <w:sz w:val="24"/>
          <w:szCs w:val="24"/>
          <w:u w:val="single"/>
        </w:rPr>
        <w:t>harvesting documents</w:t>
      </w:r>
      <w:r w:rsidR="00146519" w:rsidRPr="00073129">
        <w:rPr>
          <w:rFonts w:ascii="Arial" w:hAnsi="Arial" w:cs="Arial"/>
          <w:strike/>
          <w:color w:val="FF0000"/>
          <w:sz w:val="24"/>
          <w:szCs w:val="24"/>
          <w:u w:val="single"/>
        </w:rPr>
        <w:t xml:space="preserve"> </w:t>
      </w:r>
      <w:r w:rsidR="00146519" w:rsidRPr="00073129">
        <w:rPr>
          <w:rFonts w:ascii="Arial" w:hAnsi="Arial" w:cs="Arial"/>
          <w:strike/>
          <w:color w:val="0F9ED5" w:themeColor="accent4"/>
          <w:sz w:val="24"/>
          <w:szCs w:val="24"/>
          <w:u w:val="single"/>
        </w:rPr>
        <w:t>permits</w:t>
      </w:r>
      <w:r w:rsidR="000B1BEF" w:rsidRPr="00073129">
        <w:rPr>
          <w:rFonts w:ascii="Arial" w:hAnsi="Arial" w:cs="Arial"/>
          <w:strike/>
          <w:color w:val="FF0000"/>
          <w:sz w:val="24"/>
          <w:szCs w:val="24"/>
          <w:u w:val="single"/>
        </w:rPr>
        <w:t xml:space="preserve"> currently</w:t>
      </w:r>
      <w:r w:rsidR="00834E5D" w:rsidRPr="00073129">
        <w:rPr>
          <w:rFonts w:ascii="Arial" w:hAnsi="Arial" w:cs="Arial"/>
          <w:strike/>
          <w:color w:val="FF0000"/>
          <w:sz w:val="24"/>
          <w:szCs w:val="24"/>
          <w:u w:val="single"/>
        </w:rPr>
        <w:t xml:space="preserve"> </w:t>
      </w:r>
      <w:r w:rsidR="000B1BEF" w:rsidRPr="00073129">
        <w:rPr>
          <w:rFonts w:ascii="Arial" w:hAnsi="Arial" w:cs="Arial"/>
          <w:strike/>
          <w:color w:val="FF0000"/>
          <w:sz w:val="24"/>
          <w:szCs w:val="24"/>
          <w:u w:val="single"/>
        </w:rPr>
        <w:t xml:space="preserve">exist per (PRC § 4581), with the exception of NTMP’s per 14 CCR </w:t>
      </w:r>
      <w:r w:rsidR="002867E7" w:rsidRPr="00073129">
        <w:rPr>
          <w:rFonts w:ascii="Arial" w:hAnsi="Arial" w:cs="Arial"/>
          <w:strike/>
          <w:color w:val="FF0000"/>
          <w:sz w:val="24"/>
          <w:szCs w:val="24"/>
          <w:u w:val="single"/>
        </w:rPr>
        <w:t>§</w:t>
      </w:r>
      <w:r w:rsidR="000B1BEF" w:rsidRPr="00073129">
        <w:rPr>
          <w:rFonts w:ascii="Arial" w:hAnsi="Arial" w:cs="Arial"/>
          <w:strike/>
          <w:color w:val="FF0000"/>
          <w:sz w:val="24"/>
          <w:szCs w:val="24"/>
          <w:u w:val="single"/>
        </w:rPr>
        <w:t xml:space="preserve">1090 and WFMP’s per 14 CCR </w:t>
      </w:r>
      <w:r w:rsidR="002867E7" w:rsidRPr="00073129">
        <w:rPr>
          <w:rFonts w:ascii="Arial" w:hAnsi="Arial" w:cs="Arial"/>
          <w:strike/>
          <w:color w:val="FF0000"/>
          <w:sz w:val="24"/>
          <w:szCs w:val="24"/>
          <w:u w:val="single"/>
        </w:rPr>
        <w:t>§</w:t>
      </w:r>
      <w:r w:rsidR="000B1BEF" w:rsidRPr="00073129">
        <w:rPr>
          <w:rFonts w:ascii="Arial" w:hAnsi="Arial" w:cs="Arial"/>
          <w:strike/>
          <w:color w:val="FF0000"/>
          <w:sz w:val="24"/>
          <w:szCs w:val="24"/>
          <w:u w:val="single"/>
        </w:rPr>
        <w:t xml:space="preserve">1094, </w:t>
      </w:r>
      <w:r w:rsidR="00834E5D" w:rsidRPr="00073129">
        <w:rPr>
          <w:rFonts w:ascii="Arial" w:hAnsi="Arial" w:cs="Arial"/>
          <w:strike/>
          <w:color w:val="FF0000"/>
          <w:sz w:val="24"/>
          <w:szCs w:val="24"/>
          <w:u w:val="single"/>
        </w:rPr>
        <w:t>E</w:t>
      </w:r>
      <w:r w:rsidR="000B1BEF" w:rsidRPr="00073129">
        <w:rPr>
          <w:rFonts w:ascii="Arial" w:hAnsi="Arial" w:cs="Arial"/>
          <w:strike/>
          <w:color w:val="FF0000"/>
          <w:sz w:val="24"/>
          <w:szCs w:val="24"/>
          <w:u w:val="single"/>
        </w:rPr>
        <w:t>xemptions under this section may not overlap any other timber harvest documents</w:t>
      </w:r>
      <w:r w:rsidR="00834E5D" w:rsidRPr="00073129">
        <w:rPr>
          <w:rFonts w:ascii="Arial" w:hAnsi="Arial" w:cs="Arial"/>
          <w:strike/>
          <w:color w:val="FF0000"/>
          <w:sz w:val="24"/>
          <w:szCs w:val="24"/>
          <w:u w:val="single"/>
        </w:rPr>
        <w:t>.</w:t>
      </w:r>
      <w:r w:rsidR="000B1BEF" w:rsidRPr="00073129">
        <w:rPr>
          <w:rFonts w:ascii="Arial" w:hAnsi="Arial" w:cs="Arial"/>
          <w:strike/>
          <w:color w:val="FF0000"/>
          <w:sz w:val="24"/>
          <w:szCs w:val="24"/>
          <w:u w:val="single"/>
        </w:rPr>
        <w:t xml:space="preserve"> during the time period the exemption is active and in effect (one year).</w:t>
      </w:r>
      <w:r w:rsidRPr="00A35B1B">
        <w:rPr>
          <w:rFonts w:ascii="Arial" w:hAnsi="Arial" w:cs="Arial"/>
          <w:color w:val="FF0000"/>
          <w:sz w:val="24"/>
          <w:szCs w:val="24"/>
        </w:rPr>
        <w:t xml:space="preserve"> </w:t>
      </w:r>
      <w:r w:rsidRPr="00A35B1B">
        <w:rPr>
          <w:rFonts w:ascii="Arial" w:hAnsi="Arial" w:cs="Arial"/>
          <w:sz w:val="24"/>
          <w:szCs w:val="24"/>
        </w:rPr>
        <w:t xml:space="preserve">In-lieu practices within WLPZs as specified under Article 6 of these Rules, </w:t>
      </w:r>
      <w:r w:rsidRPr="00A35B1B">
        <w:rPr>
          <w:rFonts w:ascii="Arial" w:hAnsi="Arial" w:cs="Arial"/>
          <w:sz w:val="24"/>
          <w:szCs w:val="24"/>
        </w:rPr>
        <w:lastRenderedPageBreak/>
        <w:t>exceptions to the Rules, and alter</w:t>
      </w:r>
      <w:r w:rsidR="00732520">
        <w:rPr>
          <w:rFonts w:ascii="Arial" w:hAnsi="Arial" w:cs="Arial"/>
          <w:sz w:val="24"/>
          <w:szCs w:val="24"/>
        </w:rPr>
        <w:t>n</w:t>
      </w:r>
      <w:r w:rsidRPr="00732520">
        <w:rPr>
          <w:rFonts w:ascii="Arial" w:hAnsi="Arial" w:cs="Arial"/>
          <w:sz w:val="24"/>
          <w:szCs w:val="24"/>
        </w:rPr>
        <w:t>ative practices are not allowed. The following types of Timber Operations are exempt:</w:t>
      </w:r>
    </w:p>
    <w:p w14:paraId="0473F1E0" w14:textId="1049F8B7" w:rsidR="006900B3" w:rsidRPr="00A35B1B" w:rsidRDefault="006900B3" w:rsidP="006900B3">
      <w:pPr>
        <w:spacing w:after="0" w:line="508" w:lineRule="exact"/>
        <w:ind w:left="360"/>
        <w:rPr>
          <w:rFonts w:ascii="Arial" w:hAnsi="Arial" w:cs="Arial"/>
          <w:sz w:val="24"/>
          <w:szCs w:val="24"/>
        </w:rPr>
      </w:pPr>
      <w:r w:rsidRPr="00A35B1B">
        <w:rPr>
          <w:rFonts w:ascii="Arial" w:hAnsi="Arial" w:cs="Arial"/>
          <w:sz w:val="24"/>
          <w:szCs w:val="24"/>
        </w:rPr>
        <w:t xml:space="preserve">(a) Harvesting Christmas trees. </w:t>
      </w:r>
    </w:p>
    <w:p w14:paraId="10D60170" w14:textId="5A22F378" w:rsidR="006900B3" w:rsidRPr="00A35B1B" w:rsidRDefault="006900B3" w:rsidP="006900B3">
      <w:pPr>
        <w:spacing w:after="0" w:line="508" w:lineRule="exact"/>
        <w:ind w:left="360"/>
        <w:rPr>
          <w:rFonts w:ascii="Arial" w:hAnsi="Arial" w:cs="Arial"/>
          <w:sz w:val="24"/>
          <w:szCs w:val="24"/>
        </w:rPr>
      </w:pPr>
      <w:r w:rsidRPr="00A35B1B">
        <w:rPr>
          <w:rFonts w:ascii="Arial" w:hAnsi="Arial" w:cs="Arial"/>
          <w:sz w:val="24"/>
          <w:szCs w:val="24"/>
        </w:rPr>
        <w:t>(b) Harvesting dead trees, Dying Trees, or Diseased Trees of any size, fuelwood or split products in</w:t>
      </w:r>
      <w:r w:rsidR="00E61014" w:rsidRPr="00A35B1B">
        <w:rPr>
          <w:rFonts w:ascii="Arial" w:hAnsi="Arial" w:cs="Arial"/>
          <w:sz w:val="24"/>
          <w:szCs w:val="24"/>
        </w:rPr>
        <w:t xml:space="preserve"> amounts less than ten (10) percent of the average volume per acre, or the removal of Slash and Woody Debris that is not located within a WLPZ.</w:t>
      </w:r>
    </w:p>
    <w:p w14:paraId="4525C857" w14:textId="77B2BDD9" w:rsidR="00E61014" w:rsidRPr="00A35B1B" w:rsidRDefault="00E61014" w:rsidP="006900B3">
      <w:pPr>
        <w:spacing w:after="0" w:line="508" w:lineRule="exact"/>
        <w:ind w:left="36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The cutting or removal of trees in compliance with PRC §§ 4290 and 4291, which eliminates the vertical continuity of vegetative fuels and the horizontal continuity of tree crowns for the purpose of reducing flammable materials and maintaining a fuelbreak to reduce fire spread, duration and intensity. The requirements of this subsection shall not supersede the requirements of PRC § 4291.</w:t>
      </w:r>
    </w:p>
    <w:p w14:paraId="54019602" w14:textId="77777777"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 xml:space="preserve">(4) In addition to the surface fuel treatment described in 14 CCR § 1038(c)(3), the Harvest Area must meet the vegetation treatment standards in PRC § 4584(i)(1) to (2)(A) illustrated in Board Technical Rule Addendum No.4 within </w:t>
      </w:r>
      <w:r w:rsidRPr="00A35B1B">
        <w:rPr>
          <w:rFonts w:ascii="Arial" w:hAnsi="Arial" w:cs="Arial"/>
          <w:sz w:val="24"/>
          <w:szCs w:val="24"/>
        </w:rPr>
        <w:lastRenderedPageBreak/>
        <w:t xml:space="preserve">one (1) year from the receipt of issuance of notice of acceptance. This paragraph does not apply to 14 CCR § 1038 (c)(6). </w:t>
      </w:r>
    </w:p>
    <w:p w14:paraId="3FA68CA4" w14:textId="392B6A6C"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contacted and the notice of exemption conforms with all city or county regulatory requirements.</w:t>
      </w:r>
    </w:p>
    <w:p w14:paraId="4496EFF1" w14:textId="77777777" w:rsidR="00C55E60" w:rsidRPr="00A35B1B" w:rsidRDefault="006D0085" w:rsidP="00C55E60">
      <w:pPr>
        <w:spacing w:after="0" w:line="508" w:lineRule="exact"/>
        <w:ind w:left="720"/>
        <w:rPr>
          <w:rFonts w:ascii="Arial" w:hAnsi="Arial" w:cs="Arial"/>
          <w:sz w:val="24"/>
          <w:szCs w:val="24"/>
        </w:rPr>
      </w:pPr>
      <w:r w:rsidRPr="00A35B1B">
        <w:rPr>
          <w:rFonts w:ascii="Arial" w:hAnsi="Arial" w:cs="Arial"/>
          <w:sz w:val="24"/>
          <w:szCs w:val="24"/>
        </w:rPr>
        <w:t>(6) Trees that are located from one-hundred-fifty (150) feet up to three-hundred (300) feet from any point of an Approved and Legally Permitted Habitable Structure that complies with the California Building Standards Code may also be cut and removed for the purpose of reducing flammable materials and maintaining a fuelbreak provided the following conditions are met:</w:t>
      </w:r>
    </w:p>
    <w:p w14:paraId="308AC413"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 xml:space="preserve">(B) The (QMD) of trees greater than eight (8) inches dbh in the pre-harvest Harvest Area shall be increased in the post-harvest stand. </w:t>
      </w:r>
    </w:p>
    <w:p w14:paraId="47735FAD"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w:t>
      </w:r>
      <w:r w:rsidRPr="00A35B1B">
        <w:rPr>
          <w:rFonts w:ascii="Arial" w:hAnsi="Arial" w:cs="Arial"/>
          <w:sz w:val="24"/>
          <w:szCs w:val="24"/>
        </w:rPr>
        <w:lastRenderedPageBreak/>
        <w:t>Treatment of surface fuels by burning shall be exempt from the one-year time limitations on Timber Operations described under 14 CCR § 1038.1.</w:t>
      </w:r>
    </w:p>
    <w:p w14:paraId="0FD659EC" w14:textId="527AF75B"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after="0"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after="0" w:line="508" w:lineRule="exact"/>
        <w:ind w:left="270"/>
        <w:rPr>
          <w:rFonts w:ascii="Arial" w:hAnsi="Arial" w:cs="Arial"/>
          <w:sz w:val="24"/>
          <w:szCs w:val="24"/>
        </w:rPr>
      </w:pPr>
      <w:r w:rsidRPr="00A35B1B">
        <w:rPr>
          <w:rFonts w:ascii="Arial" w:hAnsi="Arial" w:cs="Arial"/>
          <w:sz w:val="24"/>
          <w:szCs w:val="24"/>
        </w:rPr>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after="0"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after="0"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after="0" w:line="508" w:lineRule="exact"/>
        <w:ind w:left="1170"/>
        <w:rPr>
          <w:rFonts w:ascii="Arial" w:hAnsi="Arial" w:cs="Arial"/>
          <w:sz w:val="24"/>
          <w:szCs w:val="24"/>
        </w:rPr>
      </w:pPr>
      <w:r w:rsidRPr="00A35B1B">
        <w:rPr>
          <w:rFonts w:ascii="Arial" w:hAnsi="Arial" w:cs="Arial"/>
          <w:sz w:val="24"/>
          <w:szCs w:val="24"/>
        </w:rPr>
        <w:t>(B)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or;</w:t>
      </w:r>
    </w:p>
    <w:p w14:paraId="54A70094" w14:textId="7D2537A1" w:rsidR="006A0346" w:rsidRPr="00A35B1B" w:rsidRDefault="006A0346" w:rsidP="006A0346">
      <w:pPr>
        <w:spacing w:after="0"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after="0" w:line="508" w:lineRule="exact"/>
        <w:ind w:left="180"/>
        <w:rPr>
          <w:rFonts w:ascii="Arial" w:hAnsi="Arial" w:cs="Arial"/>
          <w:bCs/>
          <w:sz w:val="24"/>
          <w:szCs w:val="24"/>
        </w:rPr>
      </w:pPr>
      <w:r w:rsidRPr="00A35B1B">
        <w:rPr>
          <w:rFonts w:ascii="Arial" w:hAnsi="Arial" w:cs="Arial"/>
          <w:bCs/>
          <w:sz w:val="24"/>
          <w:szCs w:val="24"/>
        </w:rPr>
        <w:lastRenderedPageBreak/>
        <w:t>(e) The cutting or removal of trees to restore and conserve California black (Quercus kelloggii) or Oregon white (Quercus garryana)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after="0" w:line="508" w:lineRule="exact"/>
        <w:ind w:left="630"/>
        <w:rPr>
          <w:rFonts w:ascii="Arial" w:hAnsi="Arial" w:cs="Arial"/>
          <w:sz w:val="24"/>
          <w:szCs w:val="24"/>
        </w:rPr>
      </w:pPr>
      <w:r w:rsidRPr="00A35B1B">
        <w:rPr>
          <w:rFonts w:ascii="Arial" w:hAnsi="Arial" w:cs="Arial"/>
          <w:sz w:val="24"/>
          <w:szCs w:val="24"/>
        </w:rPr>
        <w:t>(1) The Harvest Area does not cumulatively exceed, during any five (5) year period, three-hundred (300) acres per ownership in a Planning Watershed (CALWATER 2.2), for the timberland owner(s) identified pursuant to 14 CCR § 1038.1(a)(2).</w:t>
      </w:r>
    </w:p>
    <w:p w14:paraId="0417F66D" w14:textId="77777777" w:rsidR="008579C9" w:rsidRPr="00A35B1B" w:rsidRDefault="008579C9" w:rsidP="008579C9">
      <w:pPr>
        <w:spacing w:after="0"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 xml:space="preserve">(A) Total acreage of the exemption Harvest Area per Planning Watershed (CALWATER 2.2). </w:t>
      </w:r>
    </w:p>
    <w:p w14:paraId="58DC280A"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(C) A certification that states:</w:t>
      </w:r>
    </w:p>
    <w:p w14:paraId="505A6B66" w14:textId="77777777" w:rsidR="008579C9" w:rsidRPr="00A35B1B" w:rsidRDefault="008579C9" w:rsidP="008579C9">
      <w:pPr>
        <w:spacing w:after="0"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occupy the Harvest Area prior to Timber Operations; and </w:t>
      </w:r>
    </w:p>
    <w:p w14:paraId="36BCF997" w14:textId="7F1128E2" w:rsidR="008579C9" w:rsidRPr="00A35B1B" w:rsidRDefault="008579C9" w:rsidP="008579C9">
      <w:pPr>
        <w:spacing w:after="0" w:line="508" w:lineRule="exact"/>
        <w:ind w:left="1530"/>
        <w:rPr>
          <w:rFonts w:ascii="Arial" w:hAnsi="Arial" w:cs="Arial"/>
          <w:sz w:val="24"/>
          <w:szCs w:val="24"/>
        </w:rPr>
      </w:pPr>
      <w:r w:rsidRPr="00A35B1B">
        <w:rPr>
          <w:rFonts w:ascii="Arial" w:hAnsi="Arial" w:cs="Arial"/>
          <w:sz w:val="24"/>
          <w:szCs w:val="24"/>
        </w:rPr>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after="0"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B216CCE" w14:textId="77777777" w:rsidR="00A35B1B" w:rsidRPr="00A35B1B" w:rsidRDefault="00A35B1B" w:rsidP="00A35B1B">
      <w:pPr>
        <w:spacing w:after="0" w:line="508" w:lineRule="exact"/>
        <w:ind w:left="540"/>
        <w:rPr>
          <w:rFonts w:ascii="Arial" w:hAnsi="Arial" w:cs="Arial"/>
          <w:sz w:val="24"/>
          <w:szCs w:val="24"/>
        </w:rPr>
      </w:pPr>
      <w:r w:rsidRPr="00A35B1B">
        <w:rPr>
          <w:rFonts w:ascii="Arial" w:hAnsi="Arial" w:cs="Arial"/>
          <w:sz w:val="24"/>
          <w:szCs w:val="24"/>
        </w:rPr>
        <w:t xml:space="preserve">4) The post-harvest stand shall meet, at a minimum, the following criteria: </w:t>
      </w:r>
    </w:p>
    <w:p w14:paraId="4C582275" w14:textId="77777777" w:rsidR="00A35B1B" w:rsidRPr="00A35B1B" w:rsidRDefault="00A35B1B" w:rsidP="00A35B1B">
      <w:pPr>
        <w:spacing w:after="0" w:line="480" w:lineRule="auto"/>
        <w:ind w:left="54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A35B1B">
      <w:pPr>
        <w:spacing w:after="0" w:line="480" w:lineRule="auto"/>
        <w:ind w:left="540"/>
        <w:rPr>
          <w:rFonts w:ascii="Arial" w:hAnsi="Arial" w:cs="Arial"/>
          <w:sz w:val="24"/>
          <w:szCs w:val="24"/>
        </w:rPr>
      </w:pPr>
      <w:r w:rsidRPr="00A35B1B">
        <w:rPr>
          <w:rFonts w:ascii="Arial" w:hAnsi="Arial" w:cs="Arial"/>
          <w:sz w:val="24"/>
          <w:szCs w:val="24"/>
        </w:rPr>
        <w:lastRenderedPageBreak/>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A35B1B">
      <w:pPr>
        <w:pStyle w:val="Default"/>
        <w:spacing w:line="480" w:lineRule="auto"/>
        <w:ind w:left="54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A35B1B">
      <w:pPr>
        <w:pStyle w:val="Default"/>
        <w:spacing w:line="480" w:lineRule="auto"/>
        <w:ind w:left="540"/>
        <w:rPr>
          <w:rFonts w:ascii="Arial" w:hAnsi="Arial" w:cs="Arial"/>
        </w:rPr>
      </w:pPr>
      <w:r w:rsidRPr="00A35B1B">
        <w:rPr>
          <w:rFonts w:ascii="Arial" w:hAnsi="Arial" w:cs="Arial"/>
        </w:rPr>
        <w:t xml:space="preserve">(D) All harvested conifers shall be within three-hundred (300) feet of a California black oak or Oregon white oak that is a minimum of four (4) inches dbh.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after="0"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after="0" w:line="480" w:lineRule="auto"/>
        <w:ind w:left="90"/>
        <w:rPr>
          <w:rFonts w:ascii="Arial" w:hAnsi="Arial" w:cs="Arial"/>
          <w:sz w:val="24"/>
          <w:szCs w:val="24"/>
        </w:rPr>
      </w:pPr>
      <w:r w:rsidRPr="00A35B1B">
        <w:rPr>
          <w:rFonts w:ascii="Arial" w:hAnsi="Arial" w:cs="Arial"/>
          <w:sz w:val="24"/>
          <w:szCs w:val="24"/>
        </w:rPr>
        <w:t>(f) The cutting or removal of trees that eliminates the vertical continuity of vegetative fuels and the horizontal continuity of tree crowns for the purpose of reducing flammable materials and maintaining a Fuelbreak. An exemption pursuant to this subdivision shall be known as the Small Timberland Owner Exemption. The cutting or removal of trees in compliance with this subdivision shall be subject to all of the following conditions:</w:t>
      </w:r>
    </w:p>
    <w:p w14:paraId="09B9431D" w14:textId="77777777" w:rsidR="005B7783" w:rsidRPr="00A35B1B" w:rsidRDefault="005B7783" w:rsidP="005B7783">
      <w:pPr>
        <w:kinsoku w:val="0"/>
        <w:overflowPunct w:val="0"/>
        <w:autoSpaceDE w:val="0"/>
        <w:autoSpaceDN w:val="0"/>
        <w:adjustRightInd w:val="0"/>
        <w:spacing w:after="0"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Sixty (60) acres or less of timberland within a single Planning Watershed (CALWATER 2.2) within the Coast Forest District, or; </w:t>
      </w:r>
    </w:p>
    <w:p w14:paraId="2399A62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lastRenderedPageBreak/>
        <w:t>(B) One-hundred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after="0" w:line="480" w:lineRule="auto"/>
        <w:ind w:left="630"/>
        <w:rPr>
          <w:rFonts w:ascii="Arial" w:hAnsi="Arial" w:cs="Arial"/>
          <w:sz w:val="24"/>
          <w:szCs w:val="24"/>
        </w:rPr>
      </w:pPr>
      <w:r w:rsidRPr="00A35B1B">
        <w:rPr>
          <w:rFonts w:ascii="Arial" w:hAnsi="Arial" w:cs="Arial"/>
          <w:sz w:val="24"/>
          <w:szCs w:val="24"/>
        </w:rPr>
        <w:t xml:space="preserve">(2)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Unevenaged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one-hundred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(B) On Site II lands, a minimum of one-hundred (100) square feet of basal area shall be retained within the Coast Forest District, while a minimum of 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lastRenderedPageBreak/>
        <w:t xml:space="preserve">(3) The QMD of trees greater than eight (8) inches dbh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 xml:space="preserve">that are greater than twenty-six (26) inches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Codominants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lastRenderedPageBreak/>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after="0" w:line="480" w:lineRule="auto"/>
        <w:ind w:left="90"/>
        <w:rPr>
          <w:rFonts w:ascii="Arial" w:hAnsi="Arial" w:cs="Arial"/>
          <w:sz w:val="24"/>
          <w:szCs w:val="24"/>
        </w:rPr>
      </w:pPr>
      <w:r w:rsidRPr="00A35B1B">
        <w:rPr>
          <w:rFonts w:ascii="Arial" w:hAnsi="Arial" w:cs="Arial"/>
          <w:sz w:val="24"/>
          <w:szCs w:val="24"/>
        </w:rPr>
        <w:t>(g) Harvesting trees which are dead or Dying Trees as a result of wildfire within three-hundred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after="0" w:line="480" w:lineRule="auto"/>
        <w:ind w:left="450"/>
        <w:rPr>
          <w:rFonts w:ascii="Arial" w:hAnsi="Arial" w:cs="Arial"/>
          <w:sz w:val="24"/>
          <w:szCs w:val="24"/>
        </w:rPr>
      </w:pPr>
      <w:r w:rsidRPr="00A35B1B">
        <w:rPr>
          <w:rFonts w:ascii="Arial" w:hAnsi="Arial" w:cs="Arial"/>
          <w:sz w:val="24"/>
          <w:szCs w:val="24"/>
        </w:rPr>
        <w:t xml:space="preserve">(1) Only trees within three-hundred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after="0"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after="0" w:line="480" w:lineRule="auto"/>
        <w:ind w:left="900"/>
        <w:rPr>
          <w:rFonts w:ascii="Arial" w:hAnsi="Arial" w:cs="Arial"/>
          <w:sz w:val="24"/>
          <w:szCs w:val="24"/>
        </w:rPr>
      </w:pPr>
      <w:r w:rsidRPr="00A35B1B">
        <w:rPr>
          <w:rFonts w:ascii="Arial" w:hAnsi="Arial" w:cs="Arial"/>
          <w:sz w:val="24"/>
          <w:szCs w:val="24"/>
        </w:rPr>
        <w:lastRenderedPageBreak/>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after="0" w:line="480" w:lineRule="auto"/>
        <w:ind w:left="900"/>
        <w:rPr>
          <w:rFonts w:ascii="Arial" w:hAnsi="Arial" w:cs="Arial"/>
          <w:sz w:val="24"/>
          <w:szCs w:val="24"/>
        </w:rPr>
      </w:pPr>
      <w:r w:rsidRPr="00A35B1B">
        <w:rPr>
          <w:rFonts w:ascii="Arial" w:hAnsi="Arial" w:cs="Arial"/>
          <w:sz w:val="24"/>
          <w:szCs w:val="24"/>
        </w:rPr>
        <w:t>(B)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are dead or Dying Trees as a result of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 </w:t>
      </w:r>
    </w:p>
    <w:p w14:paraId="5F5DCDFC" w14:textId="77777777"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lastRenderedPageBreak/>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4BB2D349" w14:textId="4DEA298C" w:rsidR="00A35B1B" w:rsidRDefault="00A35B1B">
      <w:pPr>
        <w:kinsoku w:val="0"/>
        <w:overflowPunct w:val="0"/>
        <w:autoSpaceDE w:val="0"/>
        <w:autoSpaceDN w:val="0"/>
        <w:adjustRightInd w:val="0"/>
        <w:spacing w:after="0" w:line="480" w:lineRule="auto"/>
        <w:ind w:left="360"/>
        <w:rPr>
          <w:rFonts w:ascii="Arial" w:hAnsi="Arial" w:cs="Arial"/>
          <w:sz w:val="24"/>
          <w:szCs w:val="24"/>
        </w:rPr>
      </w:pPr>
    </w:p>
    <w:p w14:paraId="354240B0"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6AEC706E"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5B5013A7"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6E80BD7C"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10F76738"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38DAD4BA"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4B75301C"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7AE37F3A" w14:textId="77777777" w:rsidR="00544C00" w:rsidRDefault="00544C00">
      <w:pPr>
        <w:kinsoku w:val="0"/>
        <w:overflowPunct w:val="0"/>
        <w:autoSpaceDE w:val="0"/>
        <w:autoSpaceDN w:val="0"/>
        <w:adjustRightInd w:val="0"/>
        <w:spacing w:after="0" w:line="480" w:lineRule="auto"/>
        <w:ind w:left="360"/>
        <w:rPr>
          <w:rFonts w:ascii="Arial" w:hAnsi="Arial" w:cs="Arial"/>
          <w:sz w:val="24"/>
          <w:szCs w:val="24"/>
        </w:rPr>
      </w:pPr>
    </w:p>
    <w:p w14:paraId="0EF5D2E8" w14:textId="77777777" w:rsidR="0001253F" w:rsidRDefault="0001253F">
      <w:pPr>
        <w:kinsoku w:val="0"/>
        <w:overflowPunct w:val="0"/>
        <w:autoSpaceDE w:val="0"/>
        <w:autoSpaceDN w:val="0"/>
        <w:adjustRightInd w:val="0"/>
        <w:spacing w:after="0" w:line="480" w:lineRule="auto"/>
        <w:ind w:left="360"/>
        <w:rPr>
          <w:rFonts w:ascii="Arial" w:hAnsi="Arial" w:cs="Arial"/>
          <w:sz w:val="24"/>
          <w:szCs w:val="24"/>
        </w:rPr>
      </w:pPr>
    </w:p>
    <w:p w14:paraId="0AE1A00C" w14:textId="77777777" w:rsidR="0001253F" w:rsidRDefault="0001253F">
      <w:pPr>
        <w:kinsoku w:val="0"/>
        <w:overflowPunct w:val="0"/>
        <w:autoSpaceDE w:val="0"/>
        <w:autoSpaceDN w:val="0"/>
        <w:adjustRightInd w:val="0"/>
        <w:spacing w:after="0" w:line="480" w:lineRule="auto"/>
        <w:ind w:left="360"/>
        <w:rPr>
          <w:rFonts w:ascii="Arial" w:hAnsi="Arial" w:cs="Arial"/>
          <w:sz w:val="24"/>
          <w:szCs w:val="24"/>
        </w:rPr>
      </w:pPr>
    </w:p>
    <w:p w14:paraId="76ABDDB4" w14:textId="3B38BE19" w:rsidR="0001253F" w:rsidRPr="0001253F" w:rsidRDefault="006D0CD0">
      <w:pPr>
        <w:kinsoku w:val="0"/>
        <w:overflowPunct w:val="0"/>
        <w:autoSpaceDE w:val="0"/>
        <w:autoSpaceDN w:val="0"/>
        <w:adjustRightInd w:val="0"/>
        <w:spacing w:after="0" w:line="480" w:lineRule="auto"/>
        <w:ind w:left="360"/>
        <w:rPr>
          <w:rFonts w:ascii="Arial" w:hAnsi="Arial" w:cs="Arial"/>
          <w:b/>
          <w:bCs/>
          <w:sz w:val="24"/>
          <w:szCs w:val="24"/>
        </w:rPr>
      </w:pPr>
      <w:r w:rsidRPr="0001253F">
        <w:rPr>
          <w:rFonts w:ascii="Arial" w:hAnsi="Arial" w:cs="Arial"/>
          <w:b/>
          <w:bCs/>
          <w:sz w:val="24"/>
          <w:szCs w:val="24"/>
        </w:rPr>
        <w:lastRenderedPageBreak/>
        <w:t>1038.1 Additional Exceptions or Requirements</w:t>
      </w:r>
    </w:p>
    <w:p w14:paraId="1F99A02C" w14:textId="5304B54B" w:rsidR="006D0CD0" w:rsidRPr="00544C00" w:rsidRDefault="006D0CD0">
      <w:pPr>
        <w:kinsoku w:val="0"/>
        <w:overflowPunct w:val="0"/>
        <w:autoSpaceDE w:val="0"/>
        <w:autoSpaceDN w:val="0"/>
        <w:adjustRightInd w:val="0"/>
        <w:spacing w:after="0" w:line="480" w:lineRule="auto"/>
        <w:ind w:left="360"/>
        <w:rPr>
          <w:rFonts w:ascii="Arial" w:hAnsi="Arial" w:cs="Arial"/>
          <w:sz w:val="24"/>
          <w:szCs w:val="24"/>
        </w:rPr>
      </w:pPr>
      <w:r w:rsidRPr="00544C00">
        <w:rPr>
          <w:rFonts w:ascii="Arial" w:hAnsi="Arial" w:cs="Arial"/>
          <w:sz w:val="24"/>
          <w:szCs w:val="24"/>
        </w:rPr>
        <w:t>Preparation or submittal of a notice of exemption described in 14 CCR § 1038, or Timber Operation thereunder, shall comply with the additional exceptions or requirements as described.</w:t>
      </w:r>
    </w:p>
    <w:p w14:paraId="395C955E" w14:textId="77777777" w:rsidR="006D0CD0" w:rsidRPr="00544C00" w:rsidRDefault="006D0CD0" w:rsidP="006D0CD0">
      <w:pPr>
        <w:kinsoku w:val="0"/>
        <w:overflowPunct w:val="0"/>
        <w:autoSpaceDE w:val="0"/>
        <w:autoSpaceDN w:val="0"/>
        <w:adjustRightInd w:val="0"/>
        <w:spacing w:after="0" w:line="480" w:lineRule="auto"/>
        <w:ind w:left="540"/>
        <w:rPr>
          <w:rFonts w:ascii="Arial" w:hAnsi="Arial" w:cs="Arial"/>
          <w:sz w:val="24"/>
          <w:szCs w:val="24"/>
        </w:rPr>
      </w:pPr>
      <w:r w:rsidRPr="00544C00">
        <w:rPr>
          <w:rFonts w:ascii="Arial" w:hAnsi="Arial" w:cs="Arial"/>
          <w:sz w:val="24"/>
          <w:szCs w:val="24"/>
        </w:rPr>
        <w:t>(a) A notice of exemption, pursuant to 14 CCR § 1038, shall be submitted to the Director, on a form provided by the Department, prior to the commencement of Timber Operations. The form shall contain the following information:</w:t>
      </w:r>
    </w:p>
    <w:p w14:paraId="1A06E932"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(1) The type of exemption.</w:t>
      </w:r>
    </w:p>
    <w:p w14:paraId="77929DD2"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(2) Name(s), address, and telephone number(s) of the Timber Owner(s), timberland owner(s), and Timber Operator.</w:t>
      </w:r>
    </w:p>
    <w:p w14:paraId="41C3C52D"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(3) Name, address, and telephone number and license number of the RPF, if applicable.</w:t>
      </w:r>
    </w:p>
    <w:p w14:paraId="2734FFD9"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(4) Legal description of the location of the Timber Operation.</w:t>
      </w:r>
    </w:p>
    <w:p w14:paraId="514C6DBB"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(5) The tentative date of commencement of Timber Operations.</w:t>
      </w:r>
    </w:p>
    <w:p w14:paraId="5E9DFFAB"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(6) A signature of the landowner certifying that they are the landowner and have read and understand the information contained within the notice of exemption.</w:t>
      </w:r>
    </w:p>
    <w:p w14:paraId="417F5A8A" w14:textId="77777777" w:rsidR="006D0CD0" w:rsidRPr="00544C00" w:rsidRDefault="006D0CD0" w:rsidP="006D0CD0">
      <w:pPr>
        <w:kinsoku w:val="0"/>
        <w:overflowPunct w:val="0"/>
        <w:autoSpaceDE w:val="0"/>
        <w:autoSpaceDN w:val="0"/>
        <w:adjustRightInd w:val="0"/>
        <w:spacing w:after="0" w:line="480" w:lineRule="auto"/>
        <w:ind w:left="540"/>
        <w:rPr>
          <w:rFonts w:ascii="Arial" w:hAnsi="Arial" w:cs="Arial"/>
          <w:sz w:val="24"/>
          <w:szCs w:val="24"/>
        </w:rPr>
      </w:pPr>
      <w:r w:rsidRPr="00544C00">
        <w:rPr>
          <w:rFonts w:ascii="Arial" w:hAnsi="Arial" w:cs="Arial"/>
          <w:sz w:val="24"/>
          <w:szCs w:val="24"/>
        </w:rPr>
        <w:t>(b) For notices of exemption pursuant to 14 CCR § 1038, the additional requirements apply:</w:t>
      </w:r>
    </w:p>
    <w:p w14:paraId="22831941"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 xml:space="preserve">(1) All Timber Operations conducted in the Lake Tahoe Region must have a valid Tahoe Basin Tree Removal Permit, as defined by TRPA, or shall be conducted under a valid TRPA Memorandum of Understanding, when such a permit is required by TRPA. (2) The Department shall provide the </w:t>
      </w:r>
      <w:r w:rsidRPr="00544C00">
        <w:rPr>
          <w:rFonts w:ascii="Arial" w:hAnsi="Arial" w:cs="Arial"/>
          <w:sz w:val="24"/>
          <w:szCs w:val="24"/>
        </w:rPr>
        <w:lastRenderedPageBreak/>
        <w:t>appropriate RWQCB, CDFW, and CGS with copies of the submitted notice of exemption prior to the tentative date of commencement of Timber Operations.</w:t>
      </w:r>
    </w:p>
    <w:p w14:paraId="172757FD"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(3) No helicopter yarding shall be allowed.</w:t>
      </w:r>
    </w:p>
    <w:p w14:paraId="21C9F324" w14:textId="77777777" w:rsidR="006D0CD0" w:rsidRPr="00544C00" w:rsidRDefault="006D0CD0" w:rsidP="006D0CD0">
      <w:pPr>
        <w:kinsoku w:val="0"/>
        <w:overflowPunct w:val="0"/>
        <w:autoSpaceDE w:val="0"/>
        <w:autoSpaceDN w:val="0"/>
        <w:adjustRightInd w:val="0"/>
        <w:spacing w:after="0" w:line="480" w:lineRule="auto"/>
        <w:ind w:left="540"/>
        <w:rPr>
          <w:rFonts w:ascii="Arial" w:hAnsi="Arial" w:cs="Arial"/>
          <w:sz w:val="24"/>
          <w:szCs w:val="24"/>
        </w:rPr>
      </w:pPr>
      <w:r w:rsidRPr="00544C00">
        <w:rPr>
          <w:rFonts w:ascii="Arial" w:hAnsi="Arial" w:cs="Arial"/>
          <w:sz w:val="24"/>
          <w:szCs w:val="24"/>
        </w:rPr>
        <w:t>(c) The following additional exceptions or requirements apply to exemptions pursuant to 14 CCR § 1038 as provided in Table 1 below:</w:t>
      </w:r>
    </w:p>
    <w:p w14:paraId="5B596C71" w14:textId="2932ED65" w:rsidR="006D0CD0" w:rsidRPr="00544C00" w:rsidRDefault="006D0CD0" w:rsidP="006D0CD0">
      <w:pPr>
        <w:kinsoku w:val="0"/>
        <w:overflowPunct w:val="0"/>
        <w:autoSpaceDE w:val="0"/>
        <w:autoSpaceDN w:val="0"/>
        <w:adjustRightInd w:val="0"/>
        <w:spacing w:after="0" w:line="480" w:lineRule="auto"/>
        <w:ind w:left="1080"/>
        <w:rPr>
          <w:rFonts w:ascii="Arial" w:hAnsi="Arial" w:cs="Arial"/>
          <w:b/>
          <w:bCs/>
          <w:sz w:val="24"/>
          <w:szCs w:val="24"/>
        </w:rPr>
      </w:pPr>
      <w:r w:rsidRPr="00544C00">
        <w:rPr>
          <w:rFonts w:ascii="Arial" w:hAnsi="Arial" w:cs="Arial"/>
          <w:b/>
          <w:bCs/>
          <w:sz w:val="24"/>
          <w:szCs w:val="24"/>
        </w:rPr>
        <w:t>Table 1: Additional Exceptions or Requirements</w:t>
      </w:r>
    </w:p>
    <w:tbl>
      <w:tblPr>
        <w:tblStyle w:val="TableGrid"/>
        <w:tblW w:w="0" w:type="auto"/>
        <w:tblInd w:w="445" w:type="dxa"/>
        <w:tblLook w:val="04A0" w:firstRow="1" w:lastRow="0" w:firstColumn="1" w:lastColumn="0" w:noHBand="0" w:noVBand="1"/>
      </w:tblPr>
      <w:tblGrid>
        <w:gridCol w:w="4680"/>
        <w:gridCol w:w="4225"/>
      </w:tblGrid>
      <w:tr w:rsidR="006D0CD0" w:rsidRPr="00544C00" w14:paraId="7DE98690" w14:textId="77777777" w:rsidTr="00544C00">
        <w:trPr>
          <w:trHeight w:val="386"/>
        </w:trPr>
        <w:tc>
          <w:tcPr>
            <w:tcW w:w="8905" w:type="dxa"/>
            <w:gridSpan w:val="2"/>
          </w:tcPr>
          <w:p w14:paraId="76A047A5" w14:textId="4AFB403B" w:rsidR="006D0CD0" w:rsidRPr="00544C00" w:rsidRDefault="006D0CD0"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Applicable Exceptions or Requirements              </w:t>
            </w:r>
            <w:r w:rsidR="00FD09FF">
              <w:rPr>
                <w:rFonts w:ascii="Arial" w:hAnsi="Arial" w:cs="Arial"/>
                <w:sz w:val="24"/>
                <w:szCs w:val="24"/>
              </w:rPr>
              <w:t>N</w:t>
            </w:r>
            <w:r w:rsidRPr="00544C00">
              <w:rPr>
                <w:rFonts w:ascii="Arial" w:hAnsi="Arial" w:cs="Arial"/>
                <w:sz w:val="24"/>
                <w:szCs w:val="24"/>
              </w:rPr>
              <w:t>otice of Exemption Type(s)</w:t>
            </w:r>
          </w:p>
        </w:tc>
      </w:tr>
      <w:tr w:rsidR="006D0CD0" w:rsidRPr="00544C00" w14:paraId="507A64D4" w14:textId="77777777" w:rsidTr="00544C00">
        <w:tc>
          <w:tcPr>
            <w:tcW w:w="4680" w:type="dxa"/>
          </w:tcPr>
          <w:p w14:paraId="02DC4BCF" w14:textId="699D576B"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w:t>
            </w:r>
          </w:p>
        </w:tc>
        <w:tc>
          <w:tcPr>
            <w:tcW w:w="4225" w:type="dxa"/>
          </w:tcPr>
          <w:p w14:paraId="585503AA" w14:textId="5761BE86" w:rsidR="006D0CD0" w:rsidRPr="00544C00" w:rsidRDefault="002920D9" w:rsidP="006D0CD0">
            <w:pPr>
              <w:kinsoku w:val="0"/>
              <w:overflowPunct w:val="0"/>
              <w:autoSpaceDE w:val="0"/>
              <w:autoSpaceDN w:val="0"/>
              <w:adjustRightInd w:val="0"/>
              <w:spacing w:line="480" w:lineRule="auto"/>
              <w:rPr>
                <w:rFonts w:ascii="Arial" w:hAnsi="Arial" w:cs="Arial"/>
                <w:b/>
                <w:bCs/>
                <w:sz w:val="24"/>
                <w:szCs w:val="24"/>
              </w:rPr>
            </w:pPr>
            <w:r w:rsidRPr="00544C00">
              <w:rPr>
                <w:rFonts w:ascii="Arial" w:hAnsi="Arial" w:cs="Arial"/>
                <w:sz w:val="24"/>
                <w:szCs w:val="24"/>
              </w:rPr>
              <w:t>14 CCR § 1038(c)(6), (d), (e), and (f)</w:t>
            </w:r>
          </w:p>
        </w:tc>
      </w:tr>
      <w:tr w:rsidR="006D0CD0" w:rsidRPr="00544C00" w14:paraId="5470B569" w14:textId="77777777" w:rsidTr="00544C00">
        <w:tc>
          <w:tcPr>
            <w:tcW w:w="4680" w:type="dxa"/>
          </w:tcPr>
          <w:p w14:paraId="027B0238" w14:textId="19403D7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1038.1(c)(2)</w:t>
            </w:r>
          </w:p>
        </w:tc>
        <w:tc>
          <w:tcPr>
            <w:tcW w:w="4225" w:type="dxa"/>
          </w:tcPr>
          <w:p w14:paraId="4410D2B8" w14:textId="37D3FBE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57B62E02" w14:textId="77777777" w:rsidTr="00544C00">
        <w:tc>
          <w:tcPr>
            <w:tcW w:w="4680" w:type="dxa"/>
          </w:tcPr>
          <w:p w14:paraId="02EC6274" w14:textId="4FD362EE" w:rsidR="006D0CD0" w:rsidRPr="003431E5" w:rsidRDefault="002920D9" w:rsidP="002920D9">
            <w:pPr>
              <w:kinsoku w:val="0"/>
              <w:overflowPunct w:val="0"/>
              <w:autoSpaceDE w:val="0"/>
              <w:autoSpaceDN w:val="0"/>
              <w:adjustRightInd w:val="0"/>
              <w:spacing w:line="480" w:lineRule="auto"/>
              <w:jc w:val="center"/>
              <w:rPr>
                <w:rFonts w:ascii="Arial" w:hAnsi="Arial" w:cs="Arial"/>
                <w:b/>
                <w:bCs/>
                <w:color w:val="0070C0"/>
                <w:sz w:val="24"/>
                <w:szCs w:val="24"/>
              </w:rPr>
            </w:pPr>
            <w:r w:rsidRPr="00544C00">
              <w:rPr>
                <w:rFonts w:ascii="Arial" w:hAnsi="Arial" w:cs="Arial"/>
                <w:sz w:val="24"/>
                <w:szCs w:val="24"/>
              </w:rPr>
              <w:t>14 CCR § 1038.1(c)(3)</w:t>
            </w:r>
            <w:r w:rsidR="003431E5">
              <w:rPr>
                <w:rFonts w:ascii="Arial" w:hAnsi="Arial" w:cs="Arial"/>
                <w:sz w:val="24"/>
                <w:szCs w:val="24"/>
              </w:rPr>
              <w:t xml:space="preserve"> </w:t>
            </w:r>
            <w:r w:rsidR="003431E5" w:rsidRPr="00985649">
              <w:rPr>
                <w:rFonts w:ascii="Arial" w:hAnsi="Arial" w:cs="Arial"/>
                <w:color w:val="0070C0"/>
                <w:sz w:val="24"/>
                <w:szCs w:val="24"/>
                <w:u w:val="single"/>
              </w:rPr>
              <w:t>&amp; (c)(16)</w:t>
            </w:r>
          </w:p>
        </w:tc>
        <w:tc>
          <w:tcPr>
            <w:tcW w:w="4225" w:type="dxa"/>
          </w:tcPr>
          <w:p w14:paraId="41899F6F" w14:textId="3CE951F4" w:rsidR="006D0CD0" w:rsidRPr="00544C00" w:rsidRDefault="002920D9" w:rsidP="002920D9">
            <w:pPr>
              <w:tabs>
                <w:tab w:val="left" w:pos="1204"/>
              </w:tabs>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Applies to all notices of exemption pursuant to 14 CCR </w:t>
            </w:r>
            <w:bookmarkStart w:id="2" w:name="_Hlk176851654"/>
            <w:r w:rsidRPr="00544C00">
              <w:rPr>
                <w:rFonts w:ascii="Arial" w:hAnsi="Arial" w:cs="Arial"/>
                <w:sz w:val="24"/>
                <w:szCs w:val="24"/>
              </w:rPr>
              <w:t>§</w:t>
            </w:r>
            <w:bookmarkEnd w:id="2"/>
            <w:r w:rsidRPr="00544C00">
              <w:rPr>
                <w:rFonts w:ascii="Arial" w:hAnsi="Arial" w:cs="Arial"/>
                <w:sz w:val="24"/>
                <w:szCs w:val="24"/>
              </w:rPr>
              <w:t xml:space="preserve"> 1038</w:t>
            </w:r>
          </w:p>
        </w:tc>
      </w:tr>
      <w:tr w:rsidR="006D0CD0" w:rsidRPr="00544C00" w14:paraId="40E0856C" w14:textId="77777777" w:rsidTr="00544C00">
        <w:tc>
          <w:tcPr>
            <w:tcW w:w="4680" w:type="dxa"/>
          </w:tcPr>
          <w:p w14:paraId="030FD48D" w14:textId="17D5F76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1038.1(c)(4)(A)</w:t>
            </w:r>
          </w:p>
        </w:tc>
        <w:tc>
          <w:tcPr>
            <w:tcW w:w="4225" w:type="dxa"/>
          </w:tcPr>
          <w:p w14:paraId="1159E630" w14:textId="49A2B4C4"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(d)</w:t>
            </w:r>
          </w:p>
        </w:tc>
      </w:tr>
      <w:tr w:rsidR="006D0CD0" w:rsidRPr="00544C00" w14:paraId="1046A8B1" w14:textId="77777777" w:rsidTr="00544C00">
        <w:tc>
          <w:tcPr>
            <w:tcW w:w="4680" w:type="dxa"/>
          </w:tcPr>
          <w:p w14:paraId="006B63BE" w14:textId="5D26CE4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 (c)(4)(B)</w:t>
            </w:r>
          </w:p>
        </w:tc>
        <w:tc>
          <w:tcPr>
            <w:tcW w:w="4225" w:type="dxa"/>
          </w:tcPr>
          <w:p w14:paraId="32DE2BE4" w14:textId="6876753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3D8E81BF" w14:textId="77777777" w:rsidTr="00544C00">
        <w:tc>
          <w:tcPr>
            <w:tcW w:w="4680" w:type="dxa"/>
          </w:tcPr>
          <w:p w14:paraId="01C24BA2" w14:textId="1E407C5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1038.1(c)(5) through (14)</w:t>
            </w:r>
          </w:p>
        </w:tc>
        <w:tc>
          <w:tcPr>
            <w:tcW w:w="4225" w:type="dxa"/>
          </w:tcPr>
          <w:p w14:paraId="15DC3FF6" w14:textId="5153C1B5"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(b), (c), (d), (e), (f), and (g)</w:t>
            </w:r>
          </w:p>
        </w:tc>
      </w:tr>
      <w:tr w:rsidR="006D0CD0" w:rsidRPr="00544C00" w14:paraId="51BCC8CD" w14:textId="77777777" w:rsidTr="00FD09FF">
        <w:trPr>
          <w:trHeight w:val="818"/>
        </w:trPr>
        <w:tc>
          <w:tcPr>
            <w:tcW w:w="4680" w:type="dxa"/>
          </w:tcPr>
          <w:p w14:paraId="1F144628" w14:textId="7E71011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1038.1(c)(15)</w:t>
            </w:r>
          </w:p>
        </w:tc>
        <w:tc>
          <w:tcPr>
            <w:tcW w:w="4225" w:type="dxa"/>
          </w:tcPr>
          <w:p w14:paraId="67D42C85" w14:textId="2F0F7D3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CR § 1038 (a), (b), (c), (d), (e), and (g)</w:t>
            </w:r>
          </w:p>
        </w:tc>
      </w:tr>
    </w:tbl>
    <w:p w14:paraId="760509C0" w14:textId="77777777" w:rsidR="006D0CD0" w:rsidRPr="00544C00" w:rsidRDefault="006D0CD0" w:rsidP="002920D9">
      <w:pPr>
        <w:kinsoku w:val="0"/>
        <w:overflowPunct w:val="0"/>
        <w:autoSpaceDE w:val="0"/>
        <w:autoSpaceDN w:val="0"/>
        <w:adjustRightInd w:val="0"/>
        <w:spacing w:after="0" w:line="480" w:lineRule="auto"/>
        <w:rPr>
          <w:rFonts w:ascii="Arial" w:hAnsi="Arial" w:cs="Arial"/>
          <w:b/>
          <w:bCs/>
          <w:sz w:val="24"/>
          <w:szCs w:val="24"/>
        </w:rPr>
      </w:pPr>
    </w:p>
    <w:p w14:paraId="280965C6"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(1) The notice of exemption shall be prepared, signed, and submitted to the Department by a RPF.</w:t>
      </w:r>
    </w:p>
    <w:p w14:paraId="7214EFCD"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 xml:space="preserve">(2) Upon submission of the notice of exemption, a Confidential Archaeological Letter pursuant to 14 CCR § 929.1 [949.1; 969.1] must be </w:t>
      </w:r>
      <w:r w:rsidRPr="00544C00">
        <w:rPr>
          <w:rFonts w:ascii="Arial" w:hAnsi="Arial" w:cs="Arial"/>
          <w:sz w:val="24"/>
          <w:szCs w:val="24"/>
        </w:rPr>
        <w:lastRenderedPageBreak/>
        <w:t>provided to the Director and the RPF shall send a copy of the notice of exemption to Native Americans as defined in 14 CCR § 895.1.</w:t>
      </w:r>
    </w:p>
    <w:p w14:paraId="07FBB051"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(3) No Timber Operations on any site that satisfies the criteria listed in 14 CCR § 895.1 for a Significant Archaeological or Historical Site, except under the following conditions:</w:t>
      </w:r>
    </w:p>
    <w:p w14:paraId="4A546A77"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(A) If a Significant Archaeological or Historical Site is identified by the RPF preparing the notice of exemption within the project boundary, the site may be preserved in place by capping or covering with a layer of soil prior to submission.</w:t>
      </w:r>
    </w:p>
    <w:p w14:paraId="4374ED35"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1856CE5E" w14:textId="69E699CE" w:rsidR="002920D9"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(C) The written concurrence from a Department archeologist shall be submitted with the notice of exemption.</w:t>
      </w:r>
    </w:p>
    <w:p w14:paraId="69642823"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(4) Fuel treatments as follows:</w:t>
      </w:r>
    </w:p>
    <w:p w14:paraId="4ADEFA87"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 xml:space="preserve">(A)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w:t>
      </w:r>
      <w:r w:rsidRPr="00544C00">
        <w:rPr>
          <w:rFonts w:ascii="Arial" w:hAnsi="Arial" w:cs="Arial"/>
          <w:sz w:val="24"/>
          <w:szCs w:val="24"/>
        </w:rPr>
        <w:lastRenderedPageBreak/>
        <w:t>be completed within two (2) years from the date of the Director receiving the notice.</w:t>
      </w:r>
    </w:p>
    <w:p w14:paraId="67A59A43" w14:textId="409262A4"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(B) Slash shall be treated to achieve a maximum post-harvest depth of eighteen (18) inches above the ground on at least eighty (80) percent of the Harvest Area.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73673E44"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(5) No tractor or heavy equipment operations on slopes greater than fifty (50) percent. No construction of new tractor roads on slopes greater than forty (40) percent.</w:t>
      </w:r>
    </w:p>
    <w:p w14:paraId="14EB503A"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(6) Timber Operations within any Special Treatment Area shall comply with the rules associated with that Special Treatment Area.</w:t>
      </w:r>
    </w:p>
    <w:p w14:paraId="5369CFFF"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(7) No tractor or heavy equipment operations on known Unstable Areas.</w:t>
      </w:r>
    </w:p>
    <w:p w14:paraId="78CC6113"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(8) No new road construction or reconstruction, as determined pursuant 14 CCR § 895.1.</w:t>
      </w:r>
    </w:p>
    <w:p w14:paraId="3F3F642E"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6E631B19"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(10) No known sites of rare, threatened or endangered plants or animals will be disturbed, threatened or damaged.</w:t>
      </w:r>
    </w:p>
    <w:p w14:paraId="603E6E99"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(11) No Timber Operations within the buffer zone of a Sensitive Species.</w:t>
      </w:r>
    </w:p>
    <w:p w14:paraId="50ED13B3" w14:textId="10E29A19"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lastRenderedPageBreak/>
        <w:t>(12) No timber harvesting within the standard width of a WLPZ, as determined pursuant to 14 CCR § 916.4 [936.4, 956.4] (b), except sanitation-salvage harvesting, as identified within 14 CCR § 913.3 [933.3, 953.3], where immediately after completion of operations, the area shall meet the Stocking Standards of 14 CCR § 912.7 [932.7, 952.7] (b)(2), or, except the removal of dead or Dying trees where consistent with 14 CCR § 916.4 [936.4, 956.4] (b). Trees to be harvested shall be marked by, or under the supervision of, an RPF prior to Timber Operations.</w:t>
      </w:r>
    </w:p>
    <w:p w14:paraId="7735F0BB"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five (5) working days of receipt of the notice of exemption, Timber Operations may commence.</w:t>
      </w:r>
    </w:p>
    <w:p w14:paraId="79517C1C" w14:textId="0776E4D8"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 xml:space="preserve">(A) Timber Operations may not be conducted without a copy of the Director's notice of acceptance of the notice of exemption at the </w:t>
      </w:r>
      <w:r w:rsidRPr="00544C00">
        <w:rPr>
          <w:rFonts w:ascii="Arial" w:hAnsi="Arial" w:cs="Arial"/>
          <w:sz w:val="24"/>
          <w:szCs w:val="24"/>
        </w:rPr>
        <w:lastRenderedPageBreak/>
        <w:t>operating site, except where the Director has failed to act within the five (5) working-day review period.</w:t>
      </w:r>
    </w:p>
    <w:p w14:paraId="4FD7D8BE"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(14) Before beginning Timber Operations, the LTO, RPF, or person responsible for submittal of the notice of exemption shall notify CAL FIRE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The provisions of this paragraph do not supersede the requirements of paragraph (13) above.</w:t>
      </w:r>
    </w:p>
    <w:p w14:paraId="2E988DEB"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34882804"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(A) The tree is not critical for the maintenance of a Late Successional Stand. (B) A RPF attached to the submitted notice of exemption a written explanation and justification for the harvest of the tree based on the RPF’s finding of any of the following:</w:t>
      </w:r>
    </w:p>
    <w:p w14:paraId="5D11A854" w14:textId="77777777" w:rsidR="00A729EE" w:rsidRPr="00544C00" w:rsidRDefault="00A729EE" w:rsidP="00A729EE">
      <w:pPr>
        <w:kinsoku w:val="0"/>
        <w:overflowPunct w:val="0"/>
        <w:autoSpaceDE w:val="0"/>
        <w:autoSpaceDN w:val="0"/>
        <w:adjustRightInd w:val="0"/>
        <w:spacing w:after="0" w:line="480" w:lineRule="auto"/>
        <w:ind w:left="2610"/>
        <w:rPr>
          <w:rFonts w:ascii="Arial" w:hAnsi="Arial" w:cs="Arial"/>
          <w:sz w:val="24"/>
          <w:szCs w:val="24"/>
        </w:rPr>
      </w:pPr>
      <w:r w:rsidRPr="00544C00">
        <w:rPr>
          <w:rFonts w:ascii="Arial" w:hAnsi="Arial" w:cs="Arial"/>
          <w:sz w:val="24"/>
          <w:szCs w:val="24"/>
        </w:rPr>
        <w:t>1. The tree is a hazard to safety or property.</w:t>
      </w:r>
    </w:p>
    <w:p w14:paraId="310843FE" w14:textId="77777777" w:rsidR="00A729EE" w:rsidRPr="00544C00" w:rsidRDefault="00A729EE" w:rsidP="00A729EE">
      <w:pPr>
        <w:kinsoku w:val="0"/>
        <w:overflowPunct w:val="0"/>
        <w:autoSpaceDE w:val="0"/>
        <w:autoSpaceDN w:val="0"/>
        <w:adjustRightInd w:val="0"/>
        <w:spacing w:after="0" w:line="480" w:lineRule="auto"/>
        <w:ind w:left="2610"/>
        <w:rPr>
          <w:rFonts w:ascii="Arial" w:hAnsi="Arial" w:cs="Arial"/>
          <w:sz w:val="24"/>
          <w:szCs w:val="24"/>
        </w:rPr>
      </w:pPr>
      <w:r w:rsidRPr="00544C00">
        <w:rPr>
          <w:rFonts w:ascii="Arial" w:hAnsi="Arial" w:cs="Arial"/>
          <w:sz w:val="24"/>
          <w:szCs w:val="24"/>
        </w:rPr>
        <w:t xml:space="preserve">2. The removal of the tree is necessary for the construction of a building as approved by the appropriate local jurisdiction and </w:t>
      </w:r>
      <w:r w:rsidRPr="00544C00">
        <w:rPr>
          <w:rFonts w:ascii="Arial" w:hAnsi="Arial" w:cs="Arial"/>
          <w:sz w:val="24"/>
          <w:szCs w:val="24"/>
        </w:rPr>
        <w:lastRenderedPageBreak/>
        <w:t>shown on the county or city approved site plan, which shall be attached to the submitted notice of exemption.</w:t>
      </w:r>
    </w:p>
    <w:p w14:paraId="4D598F3B" w14:textId="77777777" w:rsidR="00A729EE" w:rsidRPr="00544C00" w:rsidRDefault="00A729EE" w:rsidP="00A729EE">
      <w:pPr>
        <w:kinsoku w:val="0"/>
        <w:overflowPunct w:val="0"/>
        <w:autoSpaceDE w:val="0"/>
        <w:autoSpaceDN w:val="0"/>
        <w:adjustRightInd w:val="0"/>
        <w:spacing w:after="0" w:line="480" w:lineRule="auto"/>
        <w:ind w:left="2610"/>
        <w:rPr>
          <w:rFonts w:ascii="Arial" w:hAnsi="Arial" w:cs="Arial"/>
          <w:sz w:val="24"/>
          <w:szCs w:val="24"/>
        </w:rPr>
      </w:pPr>
      <w:r w:rsidRPr="00544C00">
        <w:rPr>
          <w:rFonts w:ascii="Arial" w:hAnsi="Arial" w:cs="Arial"/>
          <w:sz w:val="24"/>
          <w:szCs w:val="24"/>
        </w:rPr>
        <w:t>3. The tree is dead or likely to die within one (1) year of the date of the proposed removal, as determined by a RPF.</w:t>
      </w:r>
    </w:p>
    <w:p w14:paraId="7EBB8F9A" w14:textId="5EBE80A1" w:rsidR="00A729EE"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(C) An RPF’s written explanation or justification need not be attached to the submitted notice of exemption if an approved Habitat Conservation Plan, Sustained Yield Plan, or Plan addresses large old tree retention for the area in which the large old tree is proposed for removal and the removal is in compliance with the retention standards of that document.</w:t>
      </w:r>
    </w:p>
    <w:p w14:paraId="1BB50477" w14:textId="4D8D7A3D" w:rsidR="00FD09FF" w:rsidRPr="00ED77A5" w:rsidRDefault="00FD09FF" w:rsidP="00FD09FF">
      <w:pPr>
        <w:kinsoku w:val="0"/>
        <w:overflowPunct w:val="0"/>
        <w:autoSpaceDE w:val="0"/>
        <w:autoSpaceDN w:val="0"/>
        <w:adjustRightInd w:val="0"/>
        <w:spacing w:after="0" w:line="480" w:lineRule="auto"/>
        <w:ind w:left="1170"/>
        <w:rPr>
          <w:rFonts w:ascii="Arial" w:hAnsi="Arial" w:cs="Arial"/>
          <w:color w:val="4EA72E" w:themeColor="accent6"/>
          <w:sz w:val="24"/>
          <w:szCs w:val="24"/>
        </w:rPr>
      </w:pPr>
      <w:r w:rsidRPr="00A60562">
        <w:rPr>
          <w:rFonts w:ascii="Arial" w:hAnsi="Arial" w:cs="Arial"/>
          <w:color w:val="0070C0"/>
          <w:sz w:val="24"/>
          <w:szCs w:val="24"/>
        </w:rPr>
        <w:t xml:space="preserve">(16) </w:t>
      </w:r>
      <w:r w:rsidR="0003755F" w:rsidRPr="00ED77A5">
        <w:rPr>
          <w:rFonts w:ascii="Arial" w:hAnsi="Arial" w:cs="Arial"/>
          <w:strike/>
          <w:color w:val="0070C0"/>
          <w:sz w:val="24"/>
          <w:szCs w:val="24"/>
          <w:u w:val="single"/>
        </w:rPr>
        <w:t>A notice of termination shall be submitted for a notice of exemption</w:t>
      </w:r>
      <w:r w:rsidR="0003755F" w:rsidRPr="00DF012B">
        <w:rPr>
          <w:rFonts w:ascii="Arial" w:hAnsi="Arial" w:cs="Arial"/>
          <w:color w:val="0070C0"/>
          <w:sz w:val="24"/>
          <w:szCs w:val="24"/>
          <w:u w:val="single"/>
        </w:rPr>
        <w:t xml:space="preserve"> </w:t>
      </w:r>
      <w:r w:rsidR="00DF012B">
        <w:rPr>
          <w:rFonts w:ascii="Arial" w:hAnsi="Arial" w:cs="Arial"/>
          <w:color w:val="0070C0"/>
          <w:sz w:val="24"/>
          <w:szCs w:val="24"/>
          <w:u w:val="single"/>
        </w:rPr>
        <w:t>I</w:t>
      </w:r>
      <w:r w:rsidR="0003755F" w:rsidRPr="00DF012B">
        <w:rPr>
          <w:rFonts w:ascii="Arial" w:hAnsi="Arial" w:cs="Arial"/>
          <w:color w:val="0070C0"/>
          <w:sz w:val="24"/>
          <w:szCs w:val="24"/>
          <w:u w:val="single"/>
        </w:rPr>
        <w:t>n</w:t>
      </w:r>
      <w:r w:rsidR="0003755F" w:rsidRPr="00ED77A5">
        <w:rPr>
          <w:rFonts w:ascii="Arial" w:hAnsi="Arial" w:cs="Arial"/>
          <w:strike/>
          <w:color w:val="0070C0"/>
          <w:sz w:val="24"/>
          <w:szCs w:val="24"/>
          <w:u w:val="single"/>
        </w:rPr>
        <w:t xml:space="preserve"> </w:t>
      </w:r>
      <w:r w:rsidR="0003755F" w:rsidRPr="00DF012B">
        <w:rPr>
          <w:rFonts w:ascii="Arial" w:hAnsi="Arial" w:cs="Arial"/>
          <w:color w:val="0070C0"/>
          <w:sz w:val="24"/>
          <w:szCs w:val="24"/>
          <w:u w:val="single"/>
        </w:rPr>
        <w:t>instances where</w:t>
      </w:r>
      <w:r w:rsidR="00DF012B">
        <w:rPr>
          <w:rFonts w:ascii="Arial" w:hAnsi="Arial" w:cs="Arial"/>
          <w:color w:val="00B050"/>
          <w:sz w:val="24"/>
          <w:szCs w:val="24"/>
          <w:u w:val="single"/>
        </w:rPr>
        <w:t xml:space="preserve"> a submitter holds an accepted non-expired notice of exemption pursuant to 14 CCR</w:t>
      </w:r>
      <w:r w:rsidR="00DF012B" w:rsidRPr="00DF012B">
        <w:rPr>
          <w:rFonts w:ascii="Arial" w:hAnsi="Arial" w:cs="Arial"/>
          <w:color w:val="00B050"/>
          <w:sz w:val="24"/>
          <w:szCs w:val="24"/>
          <w:u w:val="single"/>
        </w:rPr>
        <w:t xml:space="preserve">§1038 or 1038.3  </w:t>
      </w:r>
      <w:r w:rsidR="0003755F" w:rsidRPr="00DF012B">
        <w:rPr>
          <w:rFonts w:ascii="Arial" w:hAnsi="Arial" w:cs="Arial"/>
          <w:color w:val="00B050"/>
          <w:sz w:val="24"/>
          <w:szCs w:val="24"/>
          <w:u w:val="single"/>
        </w:rPr>
        <w:t xml:space="preserve"> </w:t>
      </w:r>
      <w:r w:rsidR="0003755F" w:rsidRPr="00ED77A5">
        <w:rPr>
          <w:rFonts w:ascii="Arial" w:hAnsi="Arial" w:cs="Arial"/>
          <w:strike/>
          <w:color w:val="0070C0"/>
          <w:sz w:val="24"/>
          <w:szCs w:val="24"/>
          <w:u w:val="single"/>
        </w:rPr>
        <w:t>Timber Operations are completed prior to the one-year expiration date</w:t>
      </w:r>
      <w:r w:rsidR="0003755F" w:rsidRPr="00DF012B">
        <w:rPr>
          <w:rFonts w:ascii="Arial" w:hAnsi="Arial" w:cs="Arial"/>
          <w:color w:val="0070C0"/>
          <w:sz w:val="24"/>
          <w:szCs w:val="24"/>
          <w:u w:val="single"/>
        </w:rPr>
        <w:t xml:space="preserve"> and the submitter intends to submit a subsequent notice of exemption with a harvest area that geographically overlaps with that previous notice of exemption prior to its expiration</w:t>
      </w:r>
      <w:r w:rsidR="00DF012B">
        <w:rPr>
          <w:rFonts w:ascii="Arial" w:hAnsi="Arial" w:cs="Arial"/>
          <w:color w:val="0070C0"/>
          <w:sz w:val="24"/>
          <w:szCs w:val="24"/>
          <w:u w:val="single"/>
        </w:rPr>
        <w:t xml:space="preserve">, </w:t>
      </w:r>
      <w:r w:rsidR="00DF012B" w:rsidRPr="005E46EC">
        <w:rPr>
          <w:rFonts w:ascii="Arial" w:hAnsi="Arial" w:cs="Arial"/>
          <w:color w:val="4EA72E" w:themeColor="accent6"/>
          <w:sz w:val="24"/>
          <w:szCs w:val="24"/>
          <w:u w:val="single"/>
        </w:rPr>
        <w:t xml:space="preserve">the submitter shall </w:t>
      </w:r>
      <w:r w:rsidR="00DF012B">
        <w:rPr>
          <w:rFonts w:ascii="Arial" w:hAnsi="Arial" w:cs="Arial"/>
          <w:color w:val="4EA72E" w:themeColor="accent6"/>
          <w:sz w:val="24"/>
          <w:szCs w:val="24"/>
          <w:u w:val="single"/>
        </w:rPr>
        <w:t>inform t</w:t>
      </w:r>
      <w:r w:rsidR="00DF012B" w:rsidRPr="005E46EC">
        <w:rPr>
          <w:rFonts w:ascii="Arial" w:hAnsi="Arial" w:cs="Arial"/>
          <w:color w:val="4EA72E" w:themeColor="accent6"/>
          <w:sz w:val="24"/>
          <w:szCs w:val="24"/>
          <w:u w:val="single"/>
        </w:rPr>
        <w:t xml:space="preserve">he department by letter of the submitter’s </w:t>
      </w:r>
      <w:r w:rsidR="00DF012B">
        <w:rPr>
          <w:rFonts w:ascii="Arial" w:hAnsi="Arial" w:cs="Arial"/>
          <w:color w:val="4EA72E" w:themeColor="accent6"/>
          <w:sz w:val="24"/>
          <w:szCs w:val="24"/>
          <w:u w:val="single"/>
        </w:rPr>
        <w:t>desire</w:t>
      </w:r>
      <w:r w:rsidR="00DF012B" w:rsidRPr="005E46EC">
        <w:rPr>
          <w:rFonts w:ascii="Arial" w:hAnsi="Arial" w:cs="Arial"/>
          <w:color w:val="4EA72E" w:themeColor="accent6"/>
          <w:sz w:val="24"/>
          <w:szCs w:val="24"/>
          <w:u w:val="single"/>
        </w:rPr>
        <w:t xml:space="preserve"> to </w:t>
      </w:r>
      <w:r w:rsidR="00DF012B">
        <w:rPr>
          <w:rFonts w:ascii="Arial" w:hAnsi="Arial" w:cs="Arial"/>
          <w:color w:val="4EA72E" w:themeColor="accent6"/>
          <w:sz w:val="24"/>
          <w:szCs w:val="24"/>
          <w:u w:val="single"/>
        </w:rPr>
        <w:t xml:space="preserve">designate the </w:t>
      </w:r>
      <w:r w:rsidR="00DF012B" w:rsidRPr="005E46EC">
        <w:rPr>
          <w:rFonts w:ascii="Arial" w:hAnsi="Arial" w:cs="Arial"/>
          <w:color w:val="4EA72E" w:themeColor="accent6"/>
          <w:sz w:val="24"/>
          <w:szCs w:val="24"/>
          <w:u w:val="single"/>
        </w:rPr>
        <w:t>previous notice of exemption</w:t>
      </w:r>
      <w:r w:rsidR="00DF012B">
        <w:rPr>
          <w:rFonts w:ascii="Arial" w:hAnsi="Arial" w:cs="Arial"/>
          <w:color w:val="4EA72E" w:themeColor="accent6"/>
          <w:sz w:val="24"/>
          <w:szCs w:val="24"/>
          <w:u w:val="single"/>
        </w:rPr>
        <w:t xml:space="preserve"> as completed</w:t>
      </w:r>
      <w:r w:rsidR="00DF012B">
        <w:rPr>
          <w:rFonts w:ascii="Arial" w:hAnsi="Arial" w:cs="Arial"/>
          <w:color w:val="00B050"/>
          <w:sz w:val="24"/>
          <w:szCs w:val="24"/>
          <w:u w:val="single"/>
        </w:rPr>
        <w:t>.</w:t>
      </w:r>
      <w:r w:rsidR="00DF012B" w:rsidRPr="006F3EF6">
        <w:rPr>
          <w:rFonts w:ascii="Arial" w:hAnsi="Arial" w:cs="Arial"/>
          <w:color w:val="4EA72E" w:themeColor="accent6"/>
          <w:sz w:val="24"/>
          <w:szCs w:val="24"/>
          <w:u w:val="single"/>
        </w:rPr>
        <w:t xml:space="preserve"> A notification letter from the submitter is not required if the department, in its discretion, </w:t>
      </w:r>
      <w:r w:rsidR="00DF012B">
        <w:rPr>
          <w:rFonts w:ascii="Arial" w:hAnsi="Arial" w:cs="Arial"/>
          <w:color w:val="4EA72E" w:themeColor="accent6"/>
          <w:sz w:val="24"/>
          <w:szCs w:val="24"/>
          <w:u w:val="single"/>
        </w:rPr>
        <w:t xml:space="preserve">revises </w:t>
      </w:r>
      <w:r w:rsidR="00DF012B" w:rsidRPr="006F3EF6">
        <w:rPr>
          <w:rFonts w:ascii="Arial" w:hAnsi="Arial" w:cs="Arial"/>
          <w:color w:val="4EA72E" w:themeColor="accent6"/>
          <w:sz w:val="24"/>
          <w:szCs w:val="24"/>
          <w:u w:val="single"/>
        </w:rPr>
        <w:t xml:space="preserve">its notice of exemption forms </w:t>
      </w:r>
      <w:r w:rsidR="00DF012B">
        <w:rPr>
          <w:rFonts w:ascii="Arial" w:hAnsi="Arial" w:cs="Arial"/>
          <w:color w:val="4EA72E" w:themeColor="accent6"/>
          <w:sz w:val="24"/>
          <w:szCs w:val="24"/>
          <w:u w:val="single"/>
        </w:rPr>
        <w:t xml:space="preserve">to require </w:t>
      </w:r>
      <w:r w:rsidR="00DF012B" w:rsidRPr="006F3EF6">
        <w:rPr>
          <w:rFonts w:ascii="Arial" w:hAnsi="Arial" w:cs="Arial"/>
          <w:color w:val="4EA72E" w:themeColor="accent6"/>
          <w:sz w:val="24"/>
          <w:szCs w:val="24"/>
          <w:u w:val="single"/>
        </w:rPr>
        <w:t xml:space="preserve">the submitter to identify </w:t>
      </w:r>
      <w:r w:rsidR="00DF012B">
        <w:rPr>
          <w:rFonts w:ascii="Arial" w:hAnsi="Arial" w:cs="Arial"/>
          <w:color w:val="4EA72E" w:themeColor="accent6"/>
          <w:sz w:val="24"/>
          <w:szCs w:val="24"/>
          <w:u w:val="single"/>
        </w:rPr>
        <w:t xml:space="preserve">any </w:t>
      </w:r>
      <w:r w:rsidR="00DF012B" w:rsidRPr="006F3EF6">
        <w:rPr>
          <w:rFonts w:ascii="Arial" w:hAnsi="Arial" w:cs="Arial"/>
          <w:color w:val="4EA72E" w:themeColor="accent6"/>
          <w:sz w:val="24"/>
          <w:szCs w:val="24"/>
          <w:u w:val="single"/>
        </w:rPr>
        <w:t>non-expired notices of exemption that would otherwise preclude acceptance of the subsequent notice of exemption by reason of geographic overlap of the harvest area pursuant to 14 CCR §1038</w:t>
      </w:r>
      <w:r w:rsidR="00DF012B">
        <w:rPr>
          <w:rFonts w:ascii="Arial" w:hAnsi="Arial" w:cs="Arial"/>
          <w:color w:val="4EA72E" w:themeColor="accent6"/>
          <w:sz w:val="24"/>
          <w:szCs w:val="24"/>
          <w:u w:val="single"/>
        </w:rPr>
        <w:t xml:space="preserve"> </w:t>
      </w:r>
      <w:r w:rsidR="00DF012B">
        <w:rPr>
          <w:rFonts w:ascii="Arial" w:hAnsi="Arial" w:cs="Arial"/>
          <w:color w:val="4EA72E" w:themeColor="accent6"/>
          <w:sz w:val="24"/>
          <w:szCs w:val="24"/>
          <w:u w:val="single"/>
        </w:rPr>
        <w:lastRenderedPageBreak/>
        <w:t>or 1038.3</w:t>
      </w:r>
      <w:r w:rsidR="00DF012B" w:rsidRPr="006F3EF6">
        <w:rPr>
          <w:rFonts w:ascii="Arial" w:hAnsi="Arial" w:cs="Arial"/>
          <w:color w:val="4EA72E" w:themeColor="accent6"/>
          <w:sz w:val="24"/>
          <w:szCs w:val="24"/>
          <w:u w:val="single"/>
        </w:rPr>
        <w:t xml:space="preserve">. Upon acceptance of the subsequent notice of exemption, any such previous non-expired notices of exemption identified by the submitter shall be deemed terminated.  </w:t>
      </w:r>
      <w:r w:rsidR="00ED77A5" w:rsidRPr="00ED77A5">
        <w:rPr>
          <w:rStyle w:val="cf01"/>
          <w:rFonts w:ascii="Arial" w:hAnsi="Arial" w:cs="Arial"/>
          <w:color w:val="4EA72E" w:themeColor="accent6"/>
          <w:sz w:val="24"/>
          <w:szCs w:val="24"/>
        </w:rPr>
        <w:t xml:space="preserve">  </w:t>
      </w:r>
      <w:r w:rsidR="0003755F" w:rsidRPr="00A60562">
        <w:rPr>
          <w:rFonts w:ascii="Arial" w:hAnsi="Arial" w:cs="Arial"/>
          <w:color w:val="0070C0"/>
          <w:sz w:val="24"/>
          <w:szCs w:val="24"/>
          <w:u w:val="single"/>
        </w:rPr>
        <w:t>A notice of exemption with a harvest area that geographically overlaps a THP shall not be submitted or accepted until a partial completion report for the overlapping harvest areas has been filed with department.</w:t>
      </w:r>
      <w:r w:rsidR="0003755F" w:rsidRPr="00A60562">
        <w:rPr>
          <w:color w:val="0070C0"/>
        </w:rPr>
        <w:t xml:space="preserve"> </w:t>
      </w:r>
    </w:p>
    <w:p w14:paraId="5FE2EC51" w14:textId="77777777" w:rsidR="00F53F91" w:rsidRDefault="00F53F91" w:rsidP="0003755F">
      <w:pPr>
        <w:kinsoku w:val="0"/>
        <w:overflowPunct w:val="0"/>
        <w:autoSpaceDE w:val="0"/>
        <w:autoSpaceDN w:val="0"/>
        <w:adjustRightInd w:val="0"/>
        <w:spacing w:after="0" w:line="480" w:lineRule="auto"/>
        <w:rPr>
          <w:rFonts w:ascii="Arial" w:hAnsi="Arial" w:cs="Arial"/>
          <w:sz w:val="24"/>
          <w:szCs w:val="24"/>
        </w:rPr>
      </w:pPr>
    </w:p>
    <w:p w14:paraId="32CBE3B4" w14:textId="77777777" w:rsidR="00F53F91" w:rsidRPr="00A80F62" w:rsidRDefault="00F53F91" w:rsidP="00F53F91">
      <w:pPr>
        <w:kinsoku w:val="0"/>
        <w:overflowPunct w:val="0"/>
        <w:autoSpaceDE w:val="0"/>
        <w:autoSpaceDN w:val="0"/>
        <w:adjustRightInd w:val="0"/>
        <w:spacing w:after="0" w:line="480" w:lineRule="auto"/>
        <w:ind w:left="-180"/>
        <w:rPr>
          <w:rFonts w:ascii="Arial" w:hAnsi="Arial" w:cs="Arial"/>
          <w:b/>
          <w:bCs/>
          <w:sz w:val="24"/>
          <w:szCs w:val="24"/>
        </w:rPr>
      </w:pPr>
      <w:r w:rsidRPr="00A80F62">
        <w:rPr>
          <w:rFonts w:ascii="Arial" w:hAnsi="Arial" w:cs="Arial"/>
          <w:b/>
          <w:bCs/>
          <w:sz w:val="24"/>
          <w:szCs w:val="24"/>
        </w:rPr>
        <w:t>1038.3 Forest Fire Prevention Exemption</w:t>
      </w:r>
    </w:p>
    <w:p w14:paraId="12E710C3" w14:textId="75DB279F"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Persons who are engaged in the cutting or removal of trees, limited to those trees that eliminate the vertical continuity of vegetative fuels and the horizontal continuity</w:t>
      </w:r>
      <w:permStart w:id="438900327" w:edGrp="everyone"/>
      <w:permEnd w:id="438900327"/>
      <w:r w:rsidRPr="00A80F62">
        <w:rPr>
          <w:rFonts w:ascii="Arial" w:hAnsi="Arial" w:cs="Arial"/>
          <w:sz w:val="24"/>
          <w:szCs w:val="24"/>
        </w:rPr>
        <w:t xml:space="preserve"> of tree crowns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w:t>
      </w:r>
      <w:r w:rsidRPr="0070663D">
        <w:rPr>
          <w:rFonts w:ascii="Arial" w:hAnsi="Arial" w:cs="Arial"/>
          <w:sz w:val="24"/>
          <w:szCs w:val="24"/>
        </w:rPr>
        <w:t>from the date of</w:t>
      </w:r>
      <w:r w:rsidRPr="00A80F62">
        <w:rPr>
          <w:rFonts w:ascii="Arial" w:hAnsi="Arial" w:cs="Arial"/>
          <w:sz w:val="24"/>
          <w:szCs w:val="24"/>
        </w:rPr>
        <w:t xml:space="preserve"> receipt by the Director,</w:t>
      </w:r>
      <w:r w:rsidR="0070663D" w:rsidRPr="00A60562">
        <w:rPr>
          <w:rFonts w:ascii="Arial" w:hAnsi="Arial" w:cs="Arial"/>
          <w:color w:val="0070C0"/>
          <w:sz w:val="24"/>
          <w:szCs w:val="24"/>
          <w:u w:val="single"/>
        </w:rPr>
        <w:t xml:space="preserve"> or until </w:t>
      </w:r>
      <w:r w:rsidR="0070663D" w:rsidRPr="00F15F0F">
        <w:rPr>
          <w:rFonts w:ascii="Arial" w:hAnsi="Arial" w:cs="Arial"/>
          <w:strike/>
          <w:color w:val="0070C0"/>
          <w:sz w:val="24"/>
          <w:szCs w:val="24"/>
          <w:u w:val="single"/>
        </w:rPr>
        <w:t>plan</w:t>
      </w:r>
      <w:r w:rsidR="00F15F0F">
        <w:rPr>
          <w:rFonts w:ascii="Arial" w:hAnsi="Arial" w:cs="Arial"/>
          <w:color w:val="0070C0"/>
          <w:sz w:val="24"/>
          <w:szCs w:val="24"/>
          <w:u w:val="single"/>
        </w:rPr>
        <w:t xml:space="preserve"> </w:t>
      </w:r>
      <w:r w:rsidR="00F15F0F">
        <w:rPr>
          <w:rFonts w:ascii="Arial" w:hAnsi="Arial" w:cs="Arial"/>
          <w:color w:val="00B050"/>
          <w:sz w:val="24"/>
          <w:szCs w:val="24"/>
          <w:u w:val="single"/>
        </w:rPr>
        <w:t>the</w:t>
      </w:r>
      <w:r w:rsidR="0070663D" w:rsidRPr="00A60562">
        <w:rPr>
          <w:rFonts w:ascii="Arial" w:hAnsi="Arial" w:cs="Arial"/>
          <w:color w:val="0070C0"/>
          <w:sz w:val="24"/>
          <w:szCs w:val="24"/>
          <w:u w:val="single"/>
        </w:rPr>
        <w:t xml:space="preserve"> submitter notifies the director of the termination of operations, whichever occurs sooner</w:t>
      </w:r>
      <w:r w:rsidR="0070663D" w:rsidRPr="00A60562">
        <w:rPr>
          <w:rFonts w:ascii="Arial" w:hAnsi="Arial" w:cs="Arial"/>
          <w:color w:val="0070C0"/>
          <w:sz w:val="24"/>
          <w:szCs w:val="24"/>
        </w:rPr>
        <w:t xml:space="preserve"> </w:t>
      </w:r>
      <w:r w:rsidRPr="00A60562">
        <w:rPr>
          <w:rFonts w:ascii="Arial" w:hAnsi="Arial" w:cs="Arial"/>
          <w:color w:val="0070C0"/>
          <w:sz w:val="24"/>
          <w:szCs w:val="24"/>
        </w:rPr>
        <w:t xml:space="preserve"> </w:t>
      </w:r>
      <w:r w:rsidRPr="00A80F62">
        <w:rPr>
          <w:rFonts w:ascii="Arial" w:hAnsi="Arial" w:cs="Arial"/>
          <w:sz w:val="24"/>
          <w:szCs w:val="24"/>
        </w:rPr>
        <w:t>and shall comply with all operational provisions of the FPA and District Forest Practices Rules applicable to “Timber Harvest Plan”, “THP”, and “Plan” definitions per 14 CCR § 895.1. This exemption shall be known as the Forest Fire Prevention Exemption. Preparation and submittal of notices of exemption under this section, or Timber Operations conducted thereunder, shall comply with the following conditions, exceptions, or requirements as described.</w:t>
      </w:r>
      <w:r w:rsidR="0070663D" w:rsidRPr="0070663D">
        <w:rPr>
          <w:rFonts w:ascii="Arial" w:hAnsi="Arial" w:cs="Arial"/>
          <w:color w:val="0F9ED5" w:themeColor="accent4"/>
          <w:sz w:val="24"/>
          <w:szCs w:val="24"/>
          <w:u w:val="single"/>
        </w:rPr>
        <w:t xml:space="preserve"> </w:t>
      </w:r>
      <w:r w:rsidR="0070663D" w:rsidRPr="00A60562">
        <w:rPr>
          <w:rFonts w:ascii="Arial" w:hAnsi="Arial" w:cs="Arial"/>
          <w:color w:val="0070C0"/>
          <w:sz w:val="24"/>
          <w:szCs w:val="24"/>
          <w:u w:val="single"/>
        </w:rPr>
        <w:t xml:space="preserve">Exemption permits authorized by this section shall not have a harvest area that </w:t>
      </w:r>
      <w:r w:rsidR="0070663D" w:rsidRPr="00A60562">
        <w:rPr>
          <w:rFonts w:ascii="Arial" w:hAnsi="Arial" w:cs="Arial"/>
          <w:color w:val="0070C0"/>
          <w:sz w:val="24"/>
          <w:szCs w:val="24"/>
          <w:u w:val="single"/>
        </w:rPr>
        <w:lastRenderedPageBreak/>
        <w:t xml:space="preserve">geographically overlaps with the harvest area of another non-expired harvest permit </w:t>
      </w:r>
      <w:r w:rsidR="0070663D" w:rsidRPr="00F15F0F">
        <w:rPr>
          <w:rFonts w:ascii="Arial" w:hAnsi="Arial" w:cs="Arial"/>
          <w:strike/>
          <w:color w:val="0070C0"/>
          <w:sz w:val="24"/>
          <w:szCs w:val="24"/>
          <w:u w:val="single"/>
        </w:rPr>
        <w:t>approved or accepted by the department</w:t>
      </w:r>
      <w:r w:rsidR="0070663D" w:rsidRPr="00A60562">
        <w:rPr>
          <w:rFonts w:ascii="Arial" w:hAnsi="Arial" w:cs="Arial"/>
          <w:color w:val="0070C0"/>
          <w:sz w:val="24"/>
          <w:szCs w:val="24"/>
          <w:u w:val="single"/>
        </w:rPr>
        <w:t>, with the exception of an approved NTMP or WFMP or an exemption permit issued pursuant to 14 CCR 1104.1</w:t>
      </w:r>
      <w:r w:rsidR="00F15F0F">
        <w:rPr>
          <w:rFonts w:ascii="Arial" w:hAnsi="Arial" w:cs="Arial"/>
          <w:color w:val="0070C0"/>
          <w:sz w:val="24"/>
          <w:szCs w:val="24"/>
          <w:u w:val="single"/>
        </w:rPr>
        <w:t>.</w:t>
      </w:r>
      <w:r w:rsidR="0070663D" w:rsidRPr="00A60562">
        <w:rPr>
          <w:rFonts w:ascii="Arial" w:hAnsi="Arial" w:cs="Arial"/>
          <w:color w:val="0070C0"/>
          <w:sz w:val="24"/>
          <w:szCs w:val="24"/>
          <w:u w:val="single"/>
        </w:rPr>
        <w:t xml:space="preserve">  </w:t>
      </w:r>
    </w:p>
    <w:p w14:paraId="4CC5789C" w14:textId="72A83161"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 xml:space="preserve">(a) Comply with the requirements of Title 14 CCR §§ 1038.1 (c)(5), (6), (7), </w:t>
      </w:r>
      <w:r w:rsidRPr="00B84A49">
        <w:rPr>
          <w:rFonts w:ascii="Arial" w:hAnsi="Arial" w:cs="Arial"/>
          <w:strike/>
          <w:sz w:val="24"/>
          <w:szCs w:val="24"/>
        </w:rPr>
        <w:t>and</w:t>
      </w:r>
      <w:r w:rsidRPr="00A80F62">
        <w:rPr>
          <w:rFonts w:ascii="Arial" w:hAnsi="Arial" w:cs="Arial"/>
          <w:sz w:val="24"/>
          <w:szCs w:val="24"/>
        </w:rPr>
        <w:t xml:space="preserve"> (9) through (12)</w:t>
      </w:r>
      <w:r w:rsidR="00D83212">
        <w:rPr>
          <w:rFonts w:ascii="Arial" w:hAnsi="Arial" w:cs="Arial"/>
          <w:color w:val="0070C0"/>
          <w:sz w:val="24"/>
          <w:szCs w:val="24"/>
          <w:u w:val="single"/>
        </w:rPr>
        <w:t xml:space="preserve"> </w:t>
      </w:r>
      <w:r w:rsidRPr="00A80F62">
        <w:rPr>
          <w:rFonts w:ascii="Arial" w:hAnsi="Arial" w:cs="Arial"/>
          <w:sz w:val="24"/>
          <w:szCs w:val="24"/>
        </w:rPr>
        <w:t>inclusive</w:t>
      </w:r>
      <w:r w:rsidR="00D83212" w:rsidRPr="00D83212">
        <w:rPr>
          <w:rFonts w:ascii="Arial" w:hAnsi="Arial" w:cs="Arial"/>
          <w:color w:val="0070C0"/>
          <w:sz w:val="24"/>
          <w:szCs w:val="24"/>
          <w:u w:val="single"/>
        </w:rPr>
        <w:t xml:space="preserve"> </w:t>
      </w:r>
      <w:r w:rsidR="00D83212" w:rsidRPr="00A60562">
        <w:rPr>
          <w:rFonts w:ascii="Arial" w:hAnsi="Arial" w:cs="Arial"/>
          <w:color w:val="0070C0"/>
          <w:sz w:val="24"/>
          <w:szCs w:val="24"/>
          <w:u w:val="single"/>
        </w:rPr>
        <w:t>and (16)</w:t>
      </w:r>
      <w:r w:rsidRPr="00A80F62">
        <w:rPr>
          <w:rFonts w:ascii="Arial" w:hAnsi="Arial" w:cs="Arial"/>
          <w:sz w:val="24"/>
          <w:szCs w:val="24"/>
        </w:rPr>
        <w:t>.</w:t>
      </w:r>
    </w:p>
    <w:p w14:paraId="5F2E4DE2" w14:textId="77777777"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(b) This exemption shall only be used on Timberlands that are within the most recent version of the Department’s Fire Hazard Severity Zone Map, which can be found on the Department’s website: https://www.fire.ca.gov/, that shows the exemption will occur in areas determined to be moderate, high and very high fire threat areas.</w:t>
      </w:r>
    </w:p>
    <w:p w14:paraId="644D84CE" w14:textId="77777777"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(c) The Harvest Area shall not exceed three-hundred (300) acres.</w:t>
      </w:r>
    </w:p>
    <w:p w14:paraId="74EBD277" w14:textId="77777777" w:rsidR="00F53F91" w:rsidRPr="00A80F62" w:rsidRDefault="00F53F91" w:rsidP="00F53F91">
      <w:pPr>
        <w:kinsoku w:val="0"/>
        <w:overflowPunct w:val="0"/>
        <w:autoSpaceDE w:val="0"/>
        <w:autoSpaceDN w:val="0"/>
        <w:adjustRightInd w:val="0"/>
        <w:spacing w:after="0" w:line="480" w:lineRule="auto"/>
        <w:ind w:left="360" w:hanging="360"/>
        <w:rPr>
          <w:rFonts w:ascii="Arial" w:hAnsi="Arial" w:cs="Arial"/>
          <w:sz w:val="24"/>
          <w:szCs w:val="24"/>
        </w:rPr>
      </w:pPr>
      <w:r w:rsidRPr="00A80F62">
        <w:rPr>
          <w:rFonts w:ascii="Arial" w:hAnsi="Arial" w:cs="Arial"/>
          <w:sz w:val="24"/>
          <w:szCs w:val="24"/>
        </w:rPr>
        <w:t>(d) (1) Slash and Woody Debris shall be treated to achieve a maximum post-harvest depth of eighteen (18) inches above the ground except within one-hundred-fifty (150) feet from any point of an approved and legally permitted structure that complies with the California Standards Building Code.</w:t>
      </w:r>
    </w:p>
    <w:p w14:paraId="4630758D"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(2) All surface fuels within one-hundred-fifty (150) feet of an Approved and Legally Permitted Structure, which could promote the spread of wildfire, shall be chipped, burned, or removed within forty-five (45) days from the start of Timber Operations.</w:t>
      </w:r>
    </w:p>
    <w:p w14:paraId="0A21828F"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(3) All fuel treatments shall be completed within one (1) year from the date the Director receives the notice. This requirement does not apply to burning, which instead shall be completed within two (2) years from the date the Director receives the notice.</w:t>
      </w:r>
    </w:p>
    <w:p w14:paraId="1B09B438"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(4) The requirements of this subsection shall not supersede the requirements of PRC § 4291.</w:t>
      </w:r>
    </w:p>
    <w:p w14:paraId="5AB15AFC" w14:textId="77777777" w:rsidR="00F53F91" w:rsidRPr="00A80F62" w:rsidRDefault="00F53F91" w:rsidP="00F53F91">
      <w:pPr>
        <w:kinsoku w:val="0"/>
        <w:overflowPunct w:val="0"/>
        <w:autoSpaceDE w:val="0"/>
        <w:autoSpaceDN w:val="0"/>
        <w:adjustRightInd w:val="0"/>
        <w:spacing w:after="0" w:line="480" w:lineRule="auto"/>
        <w:ind w:left="-90"/>
        <w:rPr>
          <w:rFonts w:ascii="Arial" w:hAnsi="Arial" w:cs="Arial"/>
          <w:sz w:val="24"/>
          <w:szCs w:val="24"/>
        </w:rPr>
      </w:pPr>
      <w:r w:rsidRPr="00A80F62">
        <w:rPr>
          <w:rFonts w:ascii="Arial" w:hAnsi="Arial" w:cs="Arial"/>
          <w:sz w:val="24"/>
          <w:szCs w:val="24"/>
        </w:rPr>
        <w:lastRenderedPageBreak/>
        <w:t>(e)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all of the following conditions are met:</w:t>
      </w:r>
    </w:p>
    <w:p w14:paraId="0C9507E9"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 xml:space="preserve">(1) Temporary Roads or Landings shall not be located on Unstable Areas. </w:t>
      </w:r>
    </w:p>
    <w:p w14:paraId="4E699FC3"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(2) Temporary Roads shall be single lane in width.</w:t>
      </w:r>
    </w:p>
    <w:p w14:paraId="426CEFE1"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(3) Temporary Roads shall not be located across a Connected Headwall Swale.</w:t>
      </w:r>
    </w:p>
    <w:p w14:paraId="40C9B255"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(4) Construction or re-construction of Temporary Roads, Landings or Watercourse crossings shall not occur during the Winter Period.</w:t>
      </w:r>
    </w:p>
    <w:p w14:paraId="58FF9CAD" w14:textId="77777777"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(A)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3D2AAAFC" w14:textId="77777777"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(B) Timber Operations during the Winter Period shall comply with the applicable Rule sections under 14 CCR § 923 [943, 963] et seq.</w:t>
      </w:r>
    </w:p>
    <w:p w14:paraId="4EE759A2" w14:textId="77777777"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(C) Use of Temporary Roads shall comply with the operational provisions of 14 CCR § 923 [943, 963] et seq.,</w:t>
      </w:r>
    </w:p>
    <w:p w14:paraId="7E8CC5CD" w14:textId="1011D276"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(D) No Logging Road or Landings construction, or reconstruction, activities shall occur within two-hundred (200) feet of Class I and Class II Watercourses, or within fifty (50) feet of a Class III Watercourse</w:t>
      </w:r>
      <w:r w:rsidR="007D0274" w:rsidRPr="00A80F62">
        <w:rPr>
          <w:rFonts w:ascii="Arial" w:hAnsi="Arial" w:cs="Arial"/>
          <w:sz w:val="24"/>
          <w:szCs w:val="24"/>
        </w:rPr>
        <w:t>.</w:t>
      </w:r>
    </w:p>
    <w:p w14:paraId="01E62D03" w14:textId="77777777" w:rsidR="007D0274" w:rsidRPr="00A80F62" w:rsidRDefault="007D0274" w:rsidP="007D0274">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lastRenderedPageBreak/>
        <w:t>(5) Temporary Road construction or reconstruction, shall be limited to no more than two (2) miles of road per ownership within a single Planning Watershed (CALWATER 2.2) per any five (5) year period.</w:t>
      </w:r>
    </w:p>
    <w:p w14:paraId="48332033"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(A) For exemptions that are less than forty (40) acres, all Temporary Roads constructed and/or reconstructed shall not exceed a cumulative length of three-hundred (300) feet. (B) For exemptions between forty (40) and eighty (80) acres, this standard shall not exceed three-hundred (300) to six-hundred (600) feet, as determined on a pro rata basis by total acreage affected by the exemption.</w:t>
      </w:r>
    </w:p>
    <w:p w14:paraId="7A284571"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(C) For exemptions over eighty (80) acres, this standard shall not exceed six-hundred (600) feet.</w:t>
      </w:r>
    </w:p>
    <w:p w14:paraId="2E9F7817"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(D) Temporary Roads constructed or reconstructed under this section shall not be connected to other Temporary Roads constructed under previous or subsequent exemptions filed pursuant to this section.</w:t>
      </w:r>
    </w:p>
    <w:p w14:paraId="3F661466"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1C196216" w14:textId="2713D884"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 xml:space="preserve">(F) No tree larger than thirty-six (36) inches in diameter at stump height, measured eight (8) inches above ground level, shall be removed for the purposes of Temporary Road construction or reconstruction as it applies to this exemption. Trees between thirty (30) and thirty-six (36) inches in diameter at stump height, measured eight (8) inches above ground level, may be </w:t>
      </w:r>
      <w:r w:rsidRPr="00A80F62">
        <w:rPr>
          <w:rFonts w:ascii="Arial" w:hAnsi="Arial" w:cs="Arial"/>
          <w:sz w:val="24"/>
          <w:szCs w:val="24"/>
        </w:rPr>
        <w:lastRenderedPageBreak/>
        <w:t>removed for the purposes of Temporary Road construction or reconstruction when no other feasible option exists for Temporary Road construction activities.</w:t>
      </w:r>
    </w:p>
    <w:p w14:paraId="254DD788"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(f)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6C3A9823"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(g) The QMD of trees greater than eight (8) inches dbh in the Harvest Area shall be increased in the postharvest stand. The submitted notice of exemption shall report the expected post-harvest increase in QMD.</w:t>
      </w:r>
    </w:p>
    <w:p w14:paraId="12A1A89E"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(h) Except within constructed or reconstructed Temporary Road prisms, only trees less than thirty (30) inches in stump diameter, measured eight (8) inches above ground level, may be removed.</w:t>
      </w:r>
    </w:p>
    <w:p w14:paraId="480353C2"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(i) All trees that are harvested or all trees that are retained shall be marked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53B9BCB4" w14:textId="1817303C"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 xml:space="preserve">(j) If the preharvest crown canopy of Dominants and Codominants is occupied by trees less than fourteen (14) inches in dbh, a minimum of one-hundred (100) trees over four inches in Diameter at breast height shall be retained per acre for Site I, II, and III lands, </w:t>
      </w:r>
      <w:r w:rsidRPr="00A80F62">
        <w:rPr>
          <w:rFonts w:ascii="Arial" w:hAnsi="Arial" w:cs="Arial"/>
          <w:sz w:val="24"/>
          <w:szCs w:val="24"/>
        </w:rPr>
        <w:lastRenderedPageBreak/>
        <w:t>and a minimum of seventy-five (75) trees over four inches in Diameter at breast height shall be retained per acre for Site IV and V lands</w:t>
      </w:r>
      <w:r w:rsidR="00426098" w:rsidRPr="00A80F62">
        <w:rPr>
          <w:rFonts w:ascii="Arial" w:hAnsi="Arial" w:cs="Arial"/>
          <w:sz w:val="24"/>
          <w:szCs w:val="24"/>
        </w:rPr>
        <w:t>.</w:t>
      </w:r>
    </w:p>
    <w:p w14:paraId="6280514D" w14:textId="77777777" w:rsidR="00426098" w:rsidRPr="00A80F62" w:rsidRDefault="00426098"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(k) The following canopy, retention, and spacing standards shall be achieved on at least eighty (80) percent of the Harvest Area:</w:t>
      </w:r>
    </w:p>
    <w:p w14:paraId="618A1A7B" w14:textId="77777777" w:rsidR="00426098" w:rsidRPr="00A80F62" w:rsidRDefault="00426098" w:rsidP="00426098">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Minimum post treatment canopy closure shall comply with the standards of 14 CCR § 1052.4 (d)(3)(A)</w:t>
      </w:r>
    </w:p>
    <w:p w14:paraId="29A41174" w14:textId="77777777" w:rsidR="00426098" w:rsidRPr="00A80F62" w:rsidRDefault="00426098" w:rsidP="00426098">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(2) Post treatment stand shall contain no more than two-hundred (200) trees per acre over three (3) inches in dbh.</w:t>
      </w:r>
    </w:p>
    <w:p w14:paraId="69099D09" w14:textId="622D6DA0" w:rsidR="00426098" w:rsidRPr="00A80F62" w:rsidRDefault="00426098" w:rsidP="00426098">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(3) Vertical spacing shall be achieved by treating dead fuels, excluding dead branches on the trees retained for stocking, to a minimum clearance distance of eight (8) feet measured from the base of the live</w:t>
      </w:r>
      <w:r w:rsidR="00164FF1" w:rsidRPr="00A80F62">
        <w:rPr>
          <w:rFonts w:ascii="Arial" w:hAnsi="Arial" w:cs="Arial"/>
          <w:sz w:val="24"/>
          <w:szCs w:val="24"/>
        </w:rPr>
        <w:t xml:space="preserve"> crown of the post-harvest Dominants and Codominants to the top of the dead surface or ladder fuels, whichever is taller.</w:t>
      </w:r>
    </w:p>
    <w:p w14:paraId="77C7BD59"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(l) Helicopter Yarding shall be prohibited.</w:t>
      </w:r>
    </w:p>
    <w:p w14:paraId="2D2CDC48"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(m) The RPF shall comply with 14 CCR § 1035.2, relating to interaction between the LTO and the RPF.</w:t>
      </w:r>
    </w:p>
    <w:p w14:paraId="1A5F1BDA"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(n) All Timber Operations conducted in the Lake Tahoe Region, if applicable, must have a valid Tahoe Basin Tree Removal Permit (as defined by the TRPA) or shall be conducted under a valid TRPA Memorandum of Understanding, when such a permit is required by TRPA.</w:t>
      </w:r>
    </w:p>
    <w:p w14:paraId="7574FAF3"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(o) Upon submission of the notice of exemption, a Confidential Archaeological Letter pursuant to 14 CCR § 929.1 [949.1; 969.1] must be provided to the Director and the RPF </w:t>
      </w:r>
      <w:r w:rsidRPr="00A80F62">
        <w:rPr>
          <w:rFonts w:ascii="Arial" w:hAnsi="Arial" w:cs="Arial"/>
          <w:sz w:val="24"/>
          <w:szCs w:val="24"/>
        </w:rPr>
        <w:lastRenderedPageBreak/>
        <w:t>shall send a copy of the notice of exemption to Native Americans as defined in 14 CCR § 895.1.</w:t>
      </w:r>
    </w:p>
    <w:p w14:paraId="11679F52" w14:textId="77777777" w:rsidR="00377843"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(p)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4F706283" w14:textId="77777777" w:rsidR="00377843"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(q)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4B146EA3" w14:textId="77777777" w:rsidR="00377843"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(r)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33180B40" w14:textId="7D309015" w:rsidR="00426098"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(s) The notice of exemption shall be prepared by, signed, and submitted by an RPF. The RPF shall be retained to oversee all construction or reconstruction of Roads and/or Landings, and provide for necessary mitigation to avoid potential impacts.</w:t>
      </w:r>
    </w:p>
    <w:p w14:paraId="04177553" w14:textId="77777777" w:rsidR="00B4153A" w:rsidRPr="00A80F62" w:rsidRDefault="00B4153A"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(t) The notice of exemption shall be submitted to the Director, on a form provided by the Department, prior to the commencement of Timber Operations. The form shall contain the following information:</w:t>
      </w:r>
    </w:p>
    <w:p w14:paraId="7EF223A4"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Name(s), address, and telephone number(s) of the Timber Owner(s), timberland owner(s), and Timber Operator.</w:t>
      </w:r>
    </w:p>
    <w:p w14:paraId="12B6EB60"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lastRenderedPageBreak/>
        <w:t>(2) Name, address, and telephone number and license number of the RPF preparing and submitting the notice of exemption.</w:t>
      </w:r>
    </w:p>
    <w:p w14:paraId="439F4935"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(3) Legal description of the location of the Timber Operations.</w:t>
      </w:r>
    </w:p>
    <w:p w14:paraId="45B4E762"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(4) The tentative date of commencement of Timber Operations.</w:t>
      </w:r>
    </w:p>
    <w:p w14:paraId="1E5DC199"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(5) A signature of the landowner certifying that they are the landowner and have read and understand the information contained within the notice of exemption.</w:t>
      </w:r>
    </w:p>
    <w:p w14:paraId="3E690B1E"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(6) A description of preharvest stand structure; and</w:t>
      </w:r>
    </w:p>
    <w:p w14:paraId="611DEC17" w14:textId="25F8372A" w:rsidR="00377843"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(7) An estimate of pre and post-harvest QMD and certification by the RPF that, in their professional judgment, post-harvest slash treatment and stand conditions will lead to more moderate fire behavior.</w:t>
      </w:r>
    </w:p>
    <w:p w14:paraId="1FF9C42D" w14:textId="77777777" w:rsidR="00057E9F" w:rsidRPr="00A80F62" w:rsidRDefault="00057E9F" w:rsidP="00057E9F">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(u) The RPF shall, upon submission of the notice of exemption:</w:t>
      </w:r>
    </w:p>
    <w:p w14:paraId="221022D7" w14:textId="77777777" w:rsidR="00057E9F" w:rsidRPr="00A80F62" w:rsidRDefault="00057E9F" w:rsidP="00057E9F">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Certify that the level of residual Stocking shall be consistent with maximum sustained production of high quality timber products. The residual stand shall consist primarily of healthy and vigorous Dominants and Codominants from the preharvest stand. Trees retained to meet the Basal Area stocking standards shall be selected from the largest trees available on the project area prior to harvest. In no case shall stocking be reduced below the standards found within 14 CCR § 913.3 [933.3, 953.3] (a).</w:t>
      </w:r>
    </w:p>
    <w:p w14:paraId="048F7399" w14:textId="77777777" w:rsidR="00057E9F" w:rsidRPr="00A80F62" w:rsidRDefault="00057E9F" w:rsidP="00057E9F">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(2) Affirm that the construction or reconstruction of each Temporary Road is necessary to provide access to Harvest Areas when no other feasible alternative exists. The notice shall include the total number of and cumulative length of Temporary Roads being constructed and/or reconstructed.</w:t>
      </w:r>
    </w:p>
    <w:p w14:paraId="60B17E57" w14:textId="77777777" w:rsidR="00057E9F" w:rsidRPr="00A80F62" w:rsidRDefault="00057E9F" w:rsidP="00057E9F">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lastRenderedPageBreak/>
        <w:t>(3)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5DBFE2B7" w14:textId="77777777" w:rsidR="00C05C85" w:rsidRPr="00A80F62" w:rsidRDefault="00057E9F" w:rsidP="00057E9F">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(v) The Director shall notify the submitter of the date of the Director’s receipt of the notice of exemption.  </w:t>
      </w:r>
      <w:r w:rsidR="00C05C85" w:rsidRPr="00A80F62">
        <w:rPr>
          <w:rFonts w:ascii="Arial" w:hAnsi="Arial" w:cs="Arial"/>
          <w:sz w:val="24"/>
          <w:szCs w:val="24"/>
        </w:rPr>
        <w:t>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3A78F9D8" w14:textId="767ABD5F" w:rsidR="00C05C85" w:rsidRPr="00A80F62" w:rsidRDefault="00C05C85" w:rsidP="00C05C85">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Upon receipt of the submitted notice of exemption, the Director shall place it, or a true copy thereof, in a file available for public inspection, and shall transmit a copy to the CDFW, the appropriate RWQCB, and the CGS.</w:t>
      </w:r>
    </w:p>
    <w:p w14:paraId="0D2D378F" w14:textId="77777777" w:rsidR="00C05C85" w:rsidRPr="00A80F62" w:rsidRDefault="00C05C85" w:rsidP="00057E9F">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(w) Before beginning Timber Operations, the RPF responsible for submittal of the notice of exemption shall notify the Department, the appropriate RWQCB, the CDFW, and the CGS </w:t>
      </w:r>
      <w:r w:rsidRPr="00A80F62">
        <w:rPr>
          <w:rFonts w:ascii="Arial" w:hAnsi="Arial" w:cs="Arial"/>
          <w:sz w:val="24"/>
          <w:szCs w:val="24"/>
        </w:rPr>
        <w:lastRenderedPageBreak/>
        <w:t>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03B78A12" w14:textId="5AF06462" w:rsidR="00702AD4" w:rsidRDefault="00C05C85" w:rsidP="00AD321C">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(x) This subsection will expire five (5) years after February 19, 2019.</w:t>
      </w:r>
    </w:p>
    <w:sectPr w:rsidR="00702AD4" w:rsidSect="0021212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448E" w14:textId="77777777" w:rsidR="00B34CFA" w:rsidRDefault="00B34CFA" w:rsidP="0000092A">
      <w:pPr>
        <w:spacing w:after="0" w:line="240" w:lineRule="auto"/>
      </w:pPr>
      <w:r>
        <w:separator/>
      </w:r>
    </w:p>
  </w:endnote>
  <w:endnote w:type="continuationSeparator" w:id="0">
    <w:p w14:paraId="2C2CAFB3" w14:textId="77777777" w:rsidR="00B34CFA" w:rsidRDefault="00B34CFA" w:rsidP="0000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9AB4" w14:textId="12573B28" w:rsidR="0000092A" w:rsidRPr="00E25D57" w:rsidRDefault="001D5ADB"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color w:val="7F7F7F" w:themeColor="background1" w:themeShade="7F"/>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Pr>
            <w:color w:val="7F7F7F" w:themeColor="background1" w:themeShade="7F"/>
            <w:spacing w:val="60"/>
          </w:rPr>
          <w:t>Page</w:t>
        </w:r>
      </w:sdtContent>
    </w:sdt>
    <w:r w:rsidR="00E25D57">
      <w:rPr>
        <w:b/>
        <w:bCs/>
      </w:rPr>
      <w:t xml:space="preserve">                                                                                                                                                                         </w:t>
    </w:r>
    <w:r w:rsidR="00E25D57">
      <w:t xml:space="preserve">FPC </w:t>
    </w:r>
    <w:r w:rsidR="00F32DF7">
      <w:t>3</w:t>
    </w:r>
    <w:r w:rsidR="00E25D57">
      <w:t>(</w:t>
    </w:r>
    <w:r w:rsidR="00AF6453">
      <w:t>a</w:t>
    </w:r>
    <w:r w:rsidR="00E25D5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917E1" w14:textId="77777777" w:rsidR="00B34CFA" w:rsidRDefault="00B34CFA" w:rsidP="0000092A">
      <w:pPr>
        <w:spacing w:after="0" w:line="240" w:lineRule="auto"/>
      </w:pPr>
      <w:r>
        <w:separator/>
      </w:r>
    </w:p>
  </w:footnote>
  <w:footnote w:type="continuationSeparator" w:id="0">
    <w:p w14:paraId="7EFE5F2F" w14:textId="77777777" w:rsidR="00B34CFA" w:rsidRDefault="00B34CFA" w:rsidP="0000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MEdJyi0JR8xzlqOyZTuhpve/TURtfl2ye5LU7jWNQ0qGVVnUTo8z7HlULVyVihYIaFQnlr9aZzJVKBtd6zgQw==" w:salt="OI5+cnLOV7EetDtZtQJH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26890"/>
    <w:rsid w:val="000313A7"/>
    <w:rsid w:val="00034370"/>
    <w:rsid w:val="0003755F"/>
    <w:rsid w:val="00057E9F"/>
    <w:rsid w:val="00066176"/>
    <w:rsid w:val="00073129"/>
    <w:rsid w:val="00084D15"/>
    <w:rsid w:val="00085080"/>
    <w:rsid w:val="00092252"/>
    <w:rsid w:val="000B1BEF"/>
    <w:rsid w:val="000D0741"/>
    <w:rsid w:val="00125356"/>
    <w:rsid w:val="00141469"/>
    <w:rsid w:val="00146519"/>
    <w:rsid w:val="00164FF1"/>
    <w:rsid w:val="001928D6"/>
    <w:rsid w:val="001D5ADB"/>
    <w:rsid w:val="00212126"/>
    <w:rsid w:val="00221BD5"/>
    <w:rsid w:val="002867E7"/>
    <w:rsid w:val="002920D9"/>
    <w:rsid w:val="002D040D"/>
    <w:rsid w:val="002D39B2"/>
    <w:rsid w:val="002E11FD"/>
    <w:rsid w:val="0031436A"/>
    <w:rsid w:val="003178E9"/>
    <w:rsid w:val="003431E5"/>
    <w:rsid w:val="00347D3C"/>
    <w:rsid w:val="00377843"/>
    <w:rsid w:val="00382A05"/>
    <w:rsid w:val="00396F92"/>
    <w:rsid w:val="003C0CF4"/>
    <w:rsid w:val="0040094D"/>
    <w:rsid w:val="00426098"/>
    <w:rsid w:val="004746C6"/>
    <w:rsid w:val="004761C7"/>
    <w:rsid w:val="00490D80"/>
    <w:rsid w:val="004C1D17"/>
    <w:rsid w:val="0051601F"/>
    <w:rsid w:val="005230EE"/>
    <w:rsid w:val="00544C00"/>
    <w:rsid w:val="00551588"/>
    <w:rsid w:val="00554065"/>
    <w:rsid w:val="00574A15"/>
    <w:rsid w:val="005A01C0"/>
    <w:rsid w:val="005A529E"/>
    <w:rsid w:val="005B2131"/>
    <w:rsid w:val="005B7783"/>
    <w:rsid w:val="005C2DA7"/>
    <w:rsid w:val="005D1E73"/>
    <w:rsid w:val="00602883"/>
    <w:rsid w:val="0061214E"/>
    <w:rsid w:val="00622BF2"/>
    <w:rsid w:val="006425D3"/>
    <w:rsid w:val="00685B66"/>
    <w:rsid w:val="006900B3"/>
    <w:rsid w:val="006A0346"/>
    <w:rsid w:val="006A7AEA"/>
    <w:rsid w:val="006B6318"/>
    <w:rsid w:val="006D0085"/>
    <w:rsid w:val="006D0CD0"/>
    <w:rsid w:val="006F5490"/>
    <w:rsid w:val="00702AD4"/>
    <w:rsid w:val="0070663D"/>
    <w:rsid w:val="00732520"/>
    <w:rsid w:val="00773F54"/>
    <w:rsid w:val="00786209"/>
    <w:rsid w:val="007978CF"/>
    <w:rsid w:val="007D0274"/>
    <w:rsid w:val="007D0780"/>
    <w:rsid w:val="008268F6"/>
    <w:rsid w:val="00834E5D"/>
    <w:rsid w:val="00856254"/>
    <w:rsid w:val="008579C9"/>
    <w:rsid w:val="0086106C"/>
    <w:rsid w:val="00876390"/>
    <w:rsid w:val="008935B9"/>
    <w:rsid w:val="00911361"/>
    <w:rsid w:val="00921B9F"/>
    <w:rsid w:val="0092298B"/>
    <w:rsid w:val="00942A07"/>
    <w:rsid w:val="00956928"/>
    <w:rsid w:val="00974CFA"/>
    <w:rsid w:val="00985649"/>
    <w:rsid w:val="009E03FC"/>
    <w:rsid w:val="009E5481"/>
    <w:rsid w:val="00A35B1B"/>
    <w:rsid w:val="00A60562"/>
    <w:rsid w:val="00A729EE"/>
    <w:rsid w:val="00A732F1"/>
    <w:rsid w:val="00A746AC"/>
    <w:rsid w:val="00A80F62"/>
    <w:rsid w:val="00AA74C1"/>
    <w:rsid w:val="00AD06D4"/>
    <w:rsid w:val="00AD321C"/>
    <w:rsid w:val="00AD3553"/>
    <w:rsid w:val="00AF6453"/>
    <w:rsid w:val="00B20FFA"/>
    <w:rsid w:val="00B24CB6"/>
    <w:rsid w:val="00B34CFA"/>
    <w:rsid w:val="00B4153A"/>
    <w:rsid w:val="00B673D9"/>
    <w:rsid w:val="00B84A49"/>
    <w:rsid w:val="00BA3D67"/>
    <w:rsid w:val="00BE69A3"/>
    <w:rsid w:val="00C05C85"/>
    <w:rsid w:val="00C1167C"/>
    <w:rsid w:val="00C451B0"/>
    <w:rsid w:val="00C55E60"/>
    <w:rsid w:val="00C777A8"/>
    <w:rsid w:val="00CA1A01"/>
    <w:rsid w:val="00CA6A35"/>
    <w:rsid w:val="00CC0B9B"/>
    <w:rsid w:val="00CC1DF1"/>
    <w:rsid w:val="00CF00BF"/>
    <w:rsid w:val="00D016C8"/>
    <w:rsid w:val="00D2128B"/>
    <w:rsid w:val="00D34F03"/>
    <w:rsid w:val="00D83212"/>
    <w:rsid w:val="00DA253A"/>
    <w:rsid w:val="00DF012B"/>
    <w:rsid w:val="00DF34CF"/>
    <w:rsid w:val="00DF3DB9"/>
    <w:rsid w:val="00E00813"/>
    <w:rsid w:val="00E02EDA"/>
    <w:rsid w:val="00E079B0"/>
    <w:rsid w:val="00E25D57"/>
    <w:rsid w:val="00E304BD"/>
    <w:rsid w:val="00E55F36"/>
    <w:rsid w:val="00E61014"/>
    <w:rsid w:val="00E83DB0"/>
    <w:rsid w:val="00E930F3"/>
    <w:rsid w:val="00EB6ECE"/>
    <w:rsid w:val="00ED77A5"/>
    <w:rsid w:val="00EE0A9C"/>
    <w:rsid w:val="00EF56A8"/>
    <w:rsid w:val="00F00092"/>
    <w:rsid w:val="00F140A3"/>
    <w:rsid w:val="00F15F0F"/>
    <w:rsid w:val="00F17E28"/>
    <w:rsid w:val="00F32DF7"/>
    <w:rsid w:val="00F4707C"/>
    <w:rsid w:val="00F53F91"/>
    <w:rsid w:val="00F54BA2"/>
    <w:rsid w:val="00F652FF"/>
    <w:rsid w:val="00F67FB5"/>
    <w:rsid w:val="00FA142F"/>
    <w:rsid w:val="00FD09FF"/>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pPr>
      <w:spacing w:line="256" w:lineRule="auto"/>
    </w:pPr>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pPr>
      <w:spacing w:line="240" w:lineRule="auto"/>
    </w:pPr>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6238</Words>
  <Characters>35560</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7</cp:revision>
  <cp:lastPrinted>2024-08-14T16:05:00Z</cp:lastPrinted>
  <dcterms:created xsi:type="dcterms:W3CDTF">2024-10-17T19:43:00Z</dcterms:created>
  <dcterms:modified xsi:type="dcterms:W3CDTF">2024-12-04T15:47:00Z</dcterms:modified>
</cp:coreProperties>
</file>