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028" w14:textId="77777777" w:rsidR="00F33B49" w:rsidRPr="006E18B8" w:rsidRDefault="00F33B49" w:rsidP="00597B5D">
      <w:pPr>
        <w:pStyle w:val="Heading2"/>
        <w:ind w:left="0"/>
      </w:pPr>
      <w:r>
        <w:t>Ma</w:t>
      </w:r>
      <w:r w:rsidRPr="006E18B8">
        <w:t>nagement Committee (Committee)</w:t>
      </w:r>
    </w:p>
    <w:p w14:paraId="53BC76BA" w14:textId="77777777" w:rsidR="00F33B49" w:rsidRPr="006E18B8" w:rsidRDefault="00F33B49" w:rsidP="0021169F">
      <w:pPr>
        <w:pStyle w:val="BodyText"/>
      </w:pPr>
      <w:r>
        <w:t>The mission of the Management Committee is to evaluate and promote long-term, landscape level planning approaches to support natural resource management on California’s non-federal forest and rangelands.</w:t>
      </w:r>
    </w:p>
    <w:p w14:paraId="0023A041" w14:textId="294C32A7" w:rsidR="00F33B49" w:rsidRDefault="00F33B49" w:rsidP="0021169F">
      <w:pPr>
        <w:pStyle w:val="BodyText"/>
      </w:pPr>
    </w:p>
    <w:p w14:paraId="6B40069C" w14:textId="4C32DDF4" w:rsidR="004637F5" w:rsidRDefault="004637F5" w:rsidP="00C85A55">
      <w:pPr>
        <w:pStyle w:val="Heading3"/>
      </w:pPr>
      <w:r>
        <w:t xml:space="preserve">Completed or Substantially Complete in </w:t>
      </w:r>
      <w:r w:rsidR="00D35BFF">
        <w:t>2022</w:t>
      </w:r>
    </w:p>
    <w:p w14:paraId="0AC1E8E8" w14:textId="77A6B643" w:rsidR="00BF7AB5" w:rsidRPr="006E18B8" w:rsidRDefault="00BF7AB5" w:rsidP="00641317">
      <w:pPr>
        <w:pStyle w:val="Heading4"/>
      </w:pPr>
      <w:r w:rsidRPr="009A5503">
        <w:t xml:space="preserve">Cutover Land, </w:t>
      </w:r>
      <w:r w:rsidR="004C59B2">
        <w:t xml:space="preserve">and </w:t>
      </w:r>
      <w:r w:rsidRPr="009A5503">
        <w:t xml:space="preserve">Meadows and Wet Areas </w:t>
      </w:r>
    </w:p>
    <w:p w14:paraId="4C10B1D2" w14:textId="0184876D" w:rsidR="00BF7AB5" w:rsidRPr="006E18B8" w:rsidRDefault="00BF7AB5" w:rsidP="0021169F">
      <w:pPr>
        <w:pStyle w:val="BodyText"/>
      </w:pPr>
      <w:r w:rsidRPr="004C6BE0">
        <w:rPr>
          <w:b/>
        </w:rPr>
        <w:t>Objective</w:t>
      </w:r>
      <w:r w:rsidRPr="00C87F0C">
        <w:rPr>
          <w:b/>
        </w:rPr>
        <w:t>:</w:t>
      </w:r>
      <w:r w:rsidRPr="006E18B8">
        <w:t xml:space="preserve"> The term “Cutover Land” ha</w:t>
      </w:r>
      <w:r w:rsidR="00EE643F">
        <w:t>d</w:t>
      </w:r>
      <w:r w:rsidRPr="006E18B8">
        <w:t xml:space="preserve"> no basis in statue or regulation and its continued use in the rules </w:t>
      </w:r>
      <w:r w:rsidR="00F14E73">
        <w:t>was</w:t>
      </w:r>
      <w:r w:rsidRPr="006E18B8">
        <w:t xml:space="preserve"> unclear. Additionally, due to various amendments the Board maintain</w:t>
      </w:r>
      <w:r w:rsidR="004D3EBE">
        <w:t>ed</w:t>
      </w:r>
      <w:r w:rsidRPr="006E18B8">
        <w:t xml:space="preserve"> separate but identical definitions for “Meadows and Wet </w:t>
      </w:r>
      <w:permStart w:id="540680931" w:edGrp="everyone"/>
      <w:permEnd w:id="540680931"/>
      <w:r w:rsidRPr="006E18B8">
        <w:t>Areas” for the Northern and Southern Forest Districts</w:t>
      </w:r>
      <w:r w:rsidR="004D3EBE">
        <w:t xml:space="preserve">, with no definition </w:t>
      </w:r>
      <w:r w:rsidR="00B06C7F">
        <w:t>for</w:t>
      </w:r>
      <w:r w:rsidR="004D3EBE">
        <w:t xml:space="preserve"> the Coast Forest District</w:t>
      </w:r>
      <w:r w:rsidR="00B06C7F">
        <w:t>, resulting in</w:t>
      </w:r>
      <w:r w:rsidR="007653A6">
        <w:t xml:space="preserve"> a lack of clarity for Alternative Prescriptions in that district for the restoration of Meadows and Wet Areas</w:t>
      </w:r>
      <w:r w:rsidRPr="006E18B8">
        <w:t xml:space="preserve">. These terms </w:t>
      </w:r>
      <w:r w:rsidR="00636C68">
        <w:t>were</w:t>
      </w:r>
      <w:r w:rsidR="00636C68" w:rsidRPr="006E18B8">
        <w:t xml:space="preserve"> </w:t>
      </w:r>
      <w:r w:rsidRPr="006E18B8">
        <w:t xml:space="preserve">made consistent across </w:t>
      </w:r>
      <w:r w:rsidR="004D3EBE">
        <w:t xml:space="preserve">all </w:t>
      </w:r>
      <w:r w:rsidRPr="006E18B8">
        <w:t>forest districts and use of the term</w:t>
      </w:r>
      <w:r>
        <w:t xml:space="preserve"> “Cutover Land” </w:t>
      </w:r>
      <w:r w:rsidR="00636C68">
        <w:t xml:space="preserve">was </w:t>
      </w:r>
      <w:r>
        <w:t>eliminated from the rules.</w:t>
      </w:r>
    </w:p>
    <w:p w14:paraId="37829F34" w14:textId="6CEF22DA" w:rsidR="00BF7AB5" w:rsidRDefault="00BF7AB5" w:rsidP="0021169F">
      <w:pPr>
        <w:pStyle w:val="BodyText"/>
      </w:pPr>
      <w:r w:rsidRPr="004C6BE0">
        <w:rPr>
          <w:b/>
        </w:rPr>
        <w:t>Status</w:t>
      </w:r>
      <w:r w:rsidRPr="00C87F0C">
        <w:rPr>
          <w:b/>
        </w:rPr>
        <w:t>:</w:t>
      </w:r>
      <w:r w:rsidRPr="006E18B8">
        <w:t xml:space="preserve"> </w:t>
      </w:r>
      <w:r w:rsidR="00603A2E">
        <w:t xml:space="preserve">This rule </w:t>
      </w:r>
      <w:r w:rsidR="00EA3060">
        <w:t>package</w:t>
      </w:r>
      <w:r w:rsidR="00603A2E">
        <w:t xml:space="preserve"> has been approved by OAL and </w:t>
      </w:r>
      <w:r w:rsidR="00AE641E">
        <w:t>became</w:t>
      </w:r>
      <w:r>
        <w:t xml:space="preserve"> effective January 1, 2023.</w:t>
      </w:r>
    </w:p>
    <w:p w14:paraId="541C5C7A" w14:textId="4554A245" w:rsidR="00A80593" w:rsidRDefault="00A80593" w:rsidP="0021169F">
      <w:pPr>
        <w:pStyle w:val="BodyText"/>
      </w:pPr>
    </w:p>
    <w:p w14:paraId="34453E71" w14:textId="38065930" w:rsidR="00D35BFF" w:rsidRPr="006E18B8" w:rsidRDefault="00D35BFF" w:rsidP="00641317">
      <w:pPr>
        <w:pStyle w:val="Heading4"/>
      </w:pPr>
      <w:r>
        <w:t>Forest Resiliency Amendments</w:t>
      </w:r>
    </w:p>
    <w:p w14:paraId="47000A78" w14:textId="378098F9" w:rsidR="001946E6" w:rsidRDefault="00D35BFF" w:rsidP="0021169F">
      <w:pPr>
        <w:pStyle w:val="BodyText"/>
      </w:pPr>
      <w:r w:rsidRPr="00880A7D">
        <w:rPr>
          <w:b/>
          <w:bCs/>
        </w:rPr>
        <w:t>Objective</w:t>
      </w:r>
      <w:r w:rsidRPr="00C87F0C">
        <w:t>:</w:t>
      </w:r>
      <w:r w:rsidRPr="006E18B8">
        <w:t xml:space="preserve"> </w:t>
      </w:r>
      <w:r w:rsidR="00F57293">
        <w:t>G</w:t>
      </w:r>
      <w:r w:rsidR="001946E6">
        <w:t>roup selection harvesting regulations limit</w:t>
      </w:r>
      <w:r w:rsidR="003512F9">
        <w:t>ed</w:t>
      </w:r>
      <w:r w:rsidR="001946E6">
        <w:t xml:space="preserve"> the portion of a THP area which </w:t>
      </w:r>
      <w:r w:rsidR="00880A7D">
        <w:t>could</w:t>
      </w:r>
      <w:r w:rsidR="001946E6">
        <w:t xml:space="preserve"> be harvested through the creation of group openings in a pattern which encourage</w:t>
      </w:r>
      <w:r w:rsidR="00880A7D">
        <w:t>d a minimum of</w:t>
      </w:r>
      <w:r w:rsidR="001946E6">
        <w:t xml:space="preserve"> 5 distinct age classes, which is unlikely to achieve the level of resilience that is provided by </w:t>
      </w:r>
      <w:r w:rsidR="00973A47">
        <w:t>historic</w:t>
      </w:r>
      <w:r w:rsidR="001946E6">
        <w:t xml:space="preserve"> forest conditions.</w:t>
      </w:r>
      <w:r w:rsidR="00973A47">
        <w:t xml:space="preserve"> T</w:t>
      </w:r>
      <w:r w:rsidR="001946E6">
        <w:t xml:space="preserve">he </w:t>
      </w:r>
      <w:r w:rsidR="001E5CF3">
        <w:t xml:space="preserve">previous </w:t>
      </w:r>
      <w:r w:rsidR="001946E6">
        <w:t>regulations contain</w:t>
      </w:r>
      <w:r w:rsidR="001E5CF3">
        <w:t>ed</w:t>
      </w:r>
      <w:r w:rsidR="001946E6">
        <w:t xml:space="preserve"> rigid prescriptive requirements for stocking conditions which </w:t>
      </w:r>
      <w:r w:rsidR="001E5CF3">
        <w:t>did</w:t>
      </w:r>
      <w:r w:rsidR="001946E6">
        <w:t xml:space="preserve"> not provide adequate flexibility </w:t>
      </w:r>
      <w:r w:rsidR="00973A47">
        <w:t>for</w:t>
      </w:r>
      <w:r w:rsidR="001946E6">
        <w:t xml:space="preserve"> forest resiliency to address the changing clim</w:t>
      </w:r>
      <w:r w:rsidR="00973A47">
        <w:t>ate</w:t>
      </w:r>
      <w:r w:rsidR="001946E6">
        <w:t xml:space="preserve">. </w:t>
      </w:r>
    </w:p>
    <w:p w14:paraId="4930BB7D" w14:textId="77777777" w:rsidR="00840073" w:rsidRDefault="00840073" w:rsidP="0021169F">
      <w:pPr>
        <w:pStyle w:val="BodyText"/>
      </w:pPr>
    </w:p>
    <w:p w14:paraId="4C2F499C" w14:textId="71786831" w:rsidR="006D6FB2" w:rsidRDefault="001946E6" w:rsidP="0021169F">
      <w:pPr>
        <w:pStyle w:val="BodyText"/>
      </w:pPr>
      <w:r>
        <w:t>The amendments were developed, in part, help to address specific forest health and ecological goals identified by the Board and clarify how those goals may achieve suitable resource conservation. These goals include:</w:t>
      </w:r>
    </w:p>
    <w:p w14:paraId="0AD34AA7" w14:textId="7149DF35" w:rsidR="00931001" w:rsidRDefault="00766D85" w:rsidP="0021169F">
      <w:pPr>
        <w:pStyle w:val="BodyText"/>
      </w:pPr>
      <w:r>
        <w:t xml:space="preserve">• </w:t>
      </w:r>
      <w:r w:rsidR="00931001">
        <w:t>Increased carbon sequestration</w:t>
      </w:r>
    </w:p>
    <w:p w14:paraId="66E38F8E" w14:textId="670FF0B6" w:rsidR="00931001" w:rsidRDefault="00931001" w:rsidP="0021169F">
      <w:pPr>
        <w:pStyle w:val="BodyText"/>
      </w:pPr>
      <w:r>
        <w:t>• Reduction in fire risk</w:t>
      </w:r>
      <w:r w:rsidR="00766D85">
        <w:t xml:space="preserve"> and</w:t>
      </w:r>
      <w:r>
        <w:t xml:space="preserve"> fuels loading</w:t>
      </w:r>
    </w:p>
    <w:p w14:paraId="43071ED7" w14:textId="77777777" w:rsidR="00931001" w:rsidRDefault="00931001" w:rsidP="0021169F">
      <w:pPr>
        <w:pStyle w:val="BodyText"/>
      </w:pPr>
      <w:r>
        <w:t>• Increased resilience to forest pests</w:t>
      </w:r>
    </w:p>
    <w:p w14:paraId="0336F94C" w14:textId="77777777" w:rsidR="00931001" w:rsidRDefault="00931001" w:rsidP="0021169F">
      <w:pPr>
        <w:pStyle w:val="BodyText"/>
      </w:pPr>
      <w:r>
        <w:t>• Increased resilience to drought / increased water yield</w:t>
      </w:r>
    </w:p>
    <w:p w14:paraId="6F068E41" w14:textId="77777777" w:rsidR="00931001" w:rsidRDefault="00931001" w:rsidP="0021169F">
      <w:pPr>
        <w:pStyle w:val="BodyText"/>
      </w:pPr>
      <w:r>
        <w:t>• Appropriate stocking for resilient forests in a changing climate</w:t>
      </w:r>
    </w:p>
    <w:p w14:paraId="698C55EA" w14:textId="77777777" w:rsidR="00931001" w:rsidRDefault="00931001" w:rsidP="0021169F">
      <w:pPr>
        <w:pStyle w:val="BodyText"/>
      </w:pPr>
      <w:r>
        <w:t>• Avoidance of large-scale disturbances which promote homogeneity in forests</w:t>
      </w:r>
    </w:p>
    <w:p w14:paraId="47C8DDFB" w14:textId="6992671B" w:rsidR="00931001" w:rsidRDefault="00931001" w:rsidP="0021169F">
      <w:pPr>
        <w:pStyle w:val="BodyText"/>
      </w:pPr>
      <w:r>
        <w:t>• Promote retention of feature favorable to wildlife</w:t>
      </w:r>
    </w:p>
    <w:p w14:paraId="308A73B7" w14:textId="77777777" w:rsidR="00766D85" w:rsidRDefault="00766D85" w:rsidP="0021169F">
      <w:pPr>
        <w:pStyle w:val="BodyText"/>
      </w:pPr>
    </w:p>
    <w:p w14:paraId="4299190E" w14:textId="74DC554E" w:rsidR="00B837B8" w:rsidRPr="006E18B8" w:rsidRDefault="00931001" w:rsidP="0021169F">
      <w:pPr>
        <w:pStyle w:val="BodyText"/>
      </w:pPr>
      <w:r>
        <w:t>The purpose of the proposed action provide</w:t>
      </w:r>
      <w:r w:rsidR="00D225C8">
        <w:t>d</w:t>
      </w:r>
      <w:r>
        <w:t xml:space="preserve"> a modification to the Group Selection Method, allowing for more openings and therefore encourage shade intolerant species regeneration and allow for the generation of fewer, more resilient age-classes, clarify retention standards, and provide more flexibility in the management of uneven aged forests through the elimination or simplification of </w:t>
      </w:r>
      <w:r>
        <w:lastRenderedPageBreak/>
        <w:t>prescriptive standards which may not be suitable for the establishment of resilient forests.</w:t>
      </w:r>
    </w:p>
    <w:p w14:paraId="2BC7B5D4" w14:textId="0406E0BD" w:rsidR="00F33B49" w:rsidRDefault="00D35BFF" w:rsidP="0021169F">
      <w:pPr>
        <w:pStyle w:val="BodyText"/>
      </w:pPr>
      <w:r w:rsidRPr="007E2824">
        <w:rPr>
          <w:b/>
          <w:bCs/>
        </w:rPr>
        <w:t>Status</w:t>
      </w:r>
      <w:r w:rsidRPr="00C87F0C">
        <w:t>:</w:t>
      </w:r>
      <w:r w:rsidR="00F10F18">
        <w:t xml:space="preserve"> </w:t>
      </w:r>
      <w:r w:rsidR="00AE641E">
        <w:t>This rule package has been approved by OAL and became effective January 1, 2023.</w:t>
      </w:r>
    </w:p>
    <w:p w14:paraId="1BD5E24F" w14:textId="77777777" w:rsidR="00AE641E" w:rsidRDefault="00AE641E" w:rsidP="0021169F">
      <w:pPr>
        <w:pStyle w:val="BodyText"/>
      </w:pPr>
    </w:p>
    <w:p w14:paraId="4CC88EB9" w14:textId="09E9D0D8" w:rsidR="0005553F" w:rsidRPr="00372D18" w:rsidRDefault="00F33B49" w:rsidP="00C85A55">
      <w:pPr>
        <w:pStyle w:val="Heading3"/>
      </w:pPr>
      <w:r>
        <w:t xml:space="preserve">PRIORITY 1 FOR </w:t>
      </w:r>
      <w:r w:rsidR="00E5664A">
        <w:t>202</w:t>
      </w:r>
      <w:r w:rsidR="007B2D3F">
        <w:t>3</w:t>
      </w:r>
      <w:r>
        <w:t>:</w:t>
      </w:r>
    </w:p>
    <w:p w14:paraId="7CFCCB23" w14:textId="678C4824" w:rsidR="00740E51" w:rsidRPr="00372D18" w:rsidRDefault="00CD2939" w:rsidP="00641317">
      <w:pPr>
        <w:pStyle w:val="Heading4"/>
      </w:pPr>
      <w:r w:rsidRPr="008E69A6">
        <w:t>LaTour</w:t>
      </w:r>
      <w:r w:rsidR="008F3E79" w:rsidRPr="008E69A6">
        <w:t xml:space="preserve"> </w:t>
      </w:r>
      <w:r w:rsidR="00A43D01" w:rsidRPr="008E69A6">
        <w:t xml:space="preserve">Demonstration </w:t>
      </w:r>
      <w:r w:rsidR="00740E51" w:rsidRPr="008E69A6">
        <w:t>State Forest Management Plan Review</w:t>
      </w:r>
    </w:p>
    <w:p w14:paraId="75B08919" w14:textId="3F69CD44" w:rsidR="00740E51" w:rsidRPr="008E69A6" w:rsidRDefault="00740E51" w:rsidP="0021169F">
      <w:pPr>
        <w:pStyle w:val="BodyText"/>
      </w:pPr>
      <w:r w:rsidRPr="008E69A6">
        <w:rPr>
          <w:b/>
        </w:rPr>
        <w:t>Objective:</w:t>
      </w:r>
      <w:r w:rsidRPr="008E69A6">
        <w:t xml:space="preserve"> </w:t>
      </w:r>
      <w:r w:rsidR="009329FD" w:rsidRPr="008E69A6">
        <w:t>The Board reviews management plans for both existing and new Demonstration State Forests.</w:t>
      </w:r>
    </w:p>
    <w:p w14:paraId="07B5240A" w14:textId="3279A659" w:rsidR="00B86EDF" w:rsidRDefault="00740E51" w:rsidP="0021169F">
      <w:pPr>
        <w:pStyle w:val="BodyText"/>
      </w:pPr>
      <w:r w:rsidRPr="008E69A6">
        <w:rPr>
          <w:b/>
        </w:rPr>
        <w:t xml:space="preserve">Status: </w:t>
      </w:r>
      <w:r w:rsidR="009329FD" w:rsidRPr="008E69A6">
        <w:t xml:space="preserve">The Committee </w:t>
      </w:r>
      <w:r w:rsidR="00C84E1C">
        <w:t xml:space="preserve">visited the </w:t>
      </w:r>
      <w:r w:rsidR="00C84E1C" w:rsidRPr="008E69A6">
        <w:t>LaTour Demonstration State Forest</w:t>
      </w:r>
      <w:r w:rsidR="00C84E1C">
        <w:t xml:space="preserve"> in September 2022 and </w:t>
      </w:r>
      <w:r w:rsidR="00E62E61">
        <w:t>has begun</w:t>
      </w:r>
      <w:r w:rsidR="009329FD" w:rsidRPr="008E69A6">
        <w:t xml:space="preserve"> review</w:t>
      </w:r>
      <w:r w:rsidR="0095714D">
        <w:t xml:space="preserve"> of</w:t>
      </w:r>
      <w:r w:rsidR="009329FD" w:rsidRPr="008E69A6">
        <w:t xml:space="preserve"> this management plan.</w:t>
      </w:r>
    </w:p>
    <w:p w14:paraId="2F201447" w14:textId="468EFFA5" w:rsidR="00B86EDF" w:rsidRDefault="00B86EDF" w:rsidP="00641317">
      <w:pPr>
        <w:pStyle w:val="Heading4"/>
      </w:pPr>
    </w:p>
    <w:p w14:paraId="71252DE9" w14:textId="77777777" w:rsidR="0073257D" w:rsidRPr="0005553F" w:rsidRDefault="0073257D" w:rsidP="00641317">
      <w:pPr>
        <w:pStyle w:val="Heading4"/>
      </w:pPr>
      <w:r w:rsidRPr="0005553F">
        <w:t>Jackson Demonstration State Forest Management Plan Review</w:t>
      </w:r>
    </w:p>
    <w:p w14:paraId="3A5F2EB8" w14:textId="1B5B730D" w:rsidR="0073257D" w:rsidRPr="0005553F" w:rsidRDefault="0073257D" w:rsidP="0021169F">
      <w:pPr>
        <w:pStyle w:val="BodyText"/>
      </w:pPr>
      <w:r w:rsidRPr="0005553F">
        <w:rPr>
          <w:b/>
        </w:rPr>
        <w:t>Objective:</w:t>
      </w:r>
      <w:r w:rsidR="002D23D0">
        <w:rPr>
          <w:b/>
        </w:rPr>
        <w:t xml:space="preserve"> </w:t>
      </w:r>
      <w:r w:rsidRPr="0005553F">
        <w:t>The Department and other stakeholders, have requested that the Board participate in discussions surrounding the Management of JDSF to ensure that the forest remains a functional and valuable public resource into the future.</w:t>
      </w:r>
    </w:p>
    <w:p w14:paraId="76F236ED" w14:textId="06F60BB0" w:rsidR="0073257D" w:rsidRDefault="0073257D" w:rsidP="0021169F">
      <w:pPr>
        <w:pStyle w:val="BodyText"/>
      </w:pPr>
      <w:r w:rsidRPr="0005553F">
        <w:rPr>
          <w:b/>
          <w:bCs/>
        </w:rPr>
        <w:t>Status</w:t>
      </w:r>
      <w:r w:rsidRPr="0005553F">
        <w:t>: Board staff and Board members have participated in Jackson Advisory Group meetings and intend to continue to work with the JAG on the development of future management issues.</w:t>
      </w:r>
      <w:r w:rsidRPr="00372D18">
        <w:t xml:space="preserve"> </w:t>
      </w:r>
    </w:p>
    <w:p w14:paraId="282B0048" w14:textId="77777777" w:rsidR="002B0579" w:rsidRDefault="002B0579" w:rsidP="0021169F">
      <w:pPr>
        <w:pStyle w:val="BodyText"/>
      </w:pPr>
    </w:p>
    <w:p w14:paraId="20BF12DF" w14:textId="7BD5FFD5" w:rsidR="002B0579" w:rsidRPr="006E18B8" w:rsidRDefault="002B0579" w:rsidP="00641317">
      <w:pPr>
        <w:pStyle w:val="Heading4"/>
      </w:pPr>
      <w:r w:rsidRPr="009A5503">
        <w:t>Maximum Sustained Production (MSP) 14 CCR § 913.11(a) [933.11(a),</w:t>
      </w:r>
      <w:r w:rsidRPr="006E18B8">
        <w:t xml:space="preserve"> 953.11(a):</w:t>
      </w:r>
      <w:r>
        <w:t xml:space="preserve"> </w:t>
      </w:r>
    </w:p>
    <w:p w14:paraId="5D43B333" w14:textId="77777777" w:rsidR="002B0579" w:rsidRPr="006E18B8" w:rsidRDefault="002B0579" w:rsidP="0021169F">
      <w:pPr>
        <w:pStyle w:val="BodyText"/>
      </w:pPr>
      <w:r w:rsidRPr="00B232A1">
        <w:rPr>
          <w:b/>
          <w:bCs/>
        </w:rPr>
        <w:t>Objective</w:t>
      </w:r>
      <w:r w:rsidRPr="008170CC">
        <w:t>:</w:t>
      </w:r>
      <w:r>
        <w:t xml:space="preserve"> </w:t>
      </w:r>
      <w:r w:rsidRPr="006E18B8">
        <w:t>Review performance of existing MSP rules since Board adoption. The Committee may consider the following actions for MSP review:</w:t>
      </w:r>
      <w:r>
        <w:t xml:space="preserve"> </w:t>
      </w:r>
      <w:r w:rsidRPr="006E18B8">
        <w:t>Consider implications for carbon fores</w:t>
      </w:r>
      <w:r>
        <w:t>t health, including resiliency and changing climatic conditions, working to expand the current intent towards mitigating fire risk and allowing management for fire protection.</w:t>
      </w:r>
    </w:p>
    <w:p w14:paraId="503BC9F1" w14:textId="2841FF90" w:rsidR="002B0579" w:rsidRDefault="002B0579" w:rsidP="0021169F">
      <w:pPr>
        <w:pStyle w:val="BodyText"/>
      </w:pPr>
      <w:r w:rsidRPr="004C6BE0">
        <w:rPr>
          <w:b/>
        </w:rPr>
        <w:t>Status</w:t>
      </w:r>
      <w:r w:rsidRPr="008170CC">
        <w:rPr>
          <w:b/>
        </w:rPr>
        <w:t>:</w:t>
      </w:r>
      <w:r w:rsidRPr="006E18B8">
        <w:t xml:space="preserve"> </w:t>
      </w:r>
      <w:r>
        <w:t>The Committee is currently reviewing these rules and may consider a rulemaking package in 2023.</w:t>
      </w:r>
    </w:p>
    <w:p w14:paraId="30380BB0" w14:textId="77777777" w:rsidR="0073257D" w:rsidRDefault="0073257D" w:rsidP="00641317">
      <w:pPr>
        <w:pStyle w:val="Heading4"/>
      </w:pPr>
    </w:p>
    <w:p w14:paraId="04C41308" w14:textId="37081BC3" w:rsidR="00355D30" w:rsidRPr="00355D30" w:rsidRDefault="00355D30" w:rsidP="00641317">
      <w:pPr>
        <w:pStyle w:val="Heading4"/>
      </w:pPr>
      <w:r w:rsidRPr="00355D30">
        <w:t>Rules related to Coastal Commission Special Treatment Areas and the Coastal Zone</w:t>
      </w:r>
    </w:p>
    <w:p w14:paraId="64171CA3" w14:textId="64CDBFDB" w:rsidR="0094238B" w:rsidRDefault="008C5748" w:rsidP="0021169F">
      <w:pPr>
        <w:pStyle w:val="BodyText"/>
      </w:pPr>
      <w:r w:rsidRPr="00355D30">
        <w:rPr>
          <w:b/>
        </w:rPr>
        <w:t>Objective</w:t>
      </w:r>
      <w:r w:rsidR="0094238B">
        <w:rPr>
          <w:b/>
        </w:rPr>
        <w:t>s</w:t>
      </w:r>
      <w:r w:rsidRPr="00355D30">
        <w:rPr>
          <w:b/>
        </w:rPr>
        <w:t>:</w:t>
      </w:r>
      <w:r w:rsidRPr="00355D30">
        <w:t xml:space="preserve"> </w:t>
      </w:r>
      <w:r w:rsidR="008B1D1B">
        <w:t xml:space="preserve">Forest Practice Rules for the Coastal Zone and Coastal Commission Special Treatment Areas have not been updated at the same rate as the Forest Practice Rules for the rest of the state, </w:t>
      </w:r>
      <w:r w:rsidR="00A22D91">
        <w:t xml:space="preserve">resulting in </w:t>
      </w:r>
      <w:r w:rsidR="008B1D1B">
        <w:t xml:space="preserve">several circumstances </w:t>
      </w:r>
      <w:r w:rsidR="00A22D91">
        <w:t xml:space="preserve">that limit opportunities for forest landowners to </w:t>
      </w:r>
      <w:r w:rsidR="00C66E0A">
        <w:t>manage timberlands</w:t>
      </w:r>
      <w:r w:rsidR="006A6CB2">
        <w:t xml:space="preserve"> and respond to changing climate conditions</w:t>
      </w:r>
      <w:r w:rsidR="00A22D91">
        <w:t xml:space="preserve">. </w:t>
      </w:r>
    </w:p>
    <w:p w14:paraId="36671D81" w14:textId="77777777" w:rsidR="00A22D91" w:rsidRDefault="00A22D91" w:rsidP="0021169F">
      <w:pPr>
        <w:pStyle w:val="BodyText"/>
      </w:pPr>
    </w:p>
    <w:p w14:paraId="711AD386" w14:textId="49CC1C51" w:rsidR="00355D30" w:rsidRPr="00355D30" w:rsidRDefault="00355D30" w:rsidP="0021169F">
      <w:pPr>
        <w:pStyle w:val="BodyText"/>
      </w:pPr>
      <w:r w:rsidRPr="00355D30">
        <w:t>14 CCR § 917.2, Treatment of Slash to Reduce Fire Hazard [Coast]</w:t>
      </w:r>
    </w:p>
    <w:p w14:paraId="2D31AFAC" w14:textId="77777777" w:rsidR="00355D30" w:rsidRPr="00355D30" w:rsidRDefault="00355D30" w:rsidP="0021169F">
      <w:pPr>
        <w:pStyle w:val="BodyText"/>
      </w:pPr>
      <w:r w:rsidRPr="00355D30">
        <w:t xml:space="preserve">The Coastal Commission Special Treatment Areas of the Coast Forest District do not currently allow for pile burning or broadcast burning. There is a significant need for effective fuel reduction techniques to manage fuel loading, particularly under post-fire conditions. 14 CCR § 917.2, Treatment of Slash to Reduce Fire Hazard excludes Coastal Commission Special Treatment Areas (CCSTA). </w:t>
      </w:r>
    </w:p>
    <w:p w14:paraId="662D13DA" w14:textId="77777777" w:rsidR="00355D30" w:rsidRPr="00355D30" w:rsidRDefault="00355D30" w:rsidP="0021169F">
      <w:pPr>
        <w:pStyle w:val="BodyText"/>
      </w:pPr>
    </w:p>
    <w:p w14:paraId="6A5F7F24" w14:textId="77777777" w:rsidR="00355D30" w:rsidRPr="00355D30" w:rsidRDefault="00355D30" w:rsidP="0021169F">
      <w:pPr>
        <w:pStyle w:val="BodyText"/>
      </w:pPr>
      <w:r w:rsidRPr="00355D30">
        <w:t>14 CCR § 921.4, Stocking Requirements [Coast, Southern, STA] requires a point-count of 450 countable trees per acre on Site I and II lands and 300 countable trees per acre on Site III, IV, and V lands. This may lead to dense stands with high fire hazard, which are overstocked compared to historic conditions. Consider modifying stocking targets in the Coastal Commission Special Treatment Areas in the Coast Forest District to achieve the objective of maintaining a resilient stand that can resist predicted climatic stress.</w:t>
      </w:r>
    </w:p>
    <w:p w14:paraId="6C9D65F6" w14:textId="77777777" w:rsidR="00355D30" w:rsidRPr="00355D30" w:rsidRDefault="00355D30" w:rsidP="0021169F">
      <w:pPr>
        <w:pStyle w:val="BodyText"/>
      </w:pPr>
    </w:p>
    <w:p w14:paraId="6D5D7F0F" w14:textId="77777777" w:rsidR="00355D30" w:rsidRPr="00355D30" w:rsidRDefault="00355D30" w:rsidP="0021169F">
      <w:pPr>
        <w:pStyle w:val="BodyText"/>
      </w:pPr>
      <w:r w:rsidRPr="00355D30">
        <w:t>Exemptions do not apply in the Coastal Zone, limiting non-commercial work. Instead, this work is implemented through a Coastal Development Permit or Public Works Plan. Proposed changes to permitting such that forest landowners have more tools improve the condition of their forests to be more resilient to droughts and wildfire.</w:t>
      </w:r>
    </w:p>
    <w:p w14:paraId="5762E8CA" w14:textId="27203388" w:rsidR="00355D30" w:rsidRPr="00355D30" w:rsidRDefault="00355D30" w:rsidP="0021169F">
      <w:pPr>
        <w:pStyle w:val="BodyText"/>
      </w:pPr>
    </w:p>
    <w:p w14:paraId="12B7EEA6" w14:textId="2C95ECC5" w:rsidR="00355D30" w:rsidRPr="00355D30" w:rsidRDefault="001179AD" w:rsidP="0021169F">
      <w:pPr>
        <w:pStyle w:val="BodyText"/>
      </w:pPr>
      <w:r w:rsidRPr="00355D30">
        <w:t>Monterey pine was seldom harvested for commercial purpose in California</w:t>
      </w:r>
      <w:r>
        <w:t xml:space="preserve"> prior</w:t>
      </w:r>
      <w:r w:rsidRPr="00355D30">
        <w:t xml:space="preserve"> </w:t>
      </w:r>
      <w:r w:rsidR="00355D30" w:rsidRPr="00355D30">
        <w:t xml:space="preserve">to placement on the Group B Commercial Species list for each of the Forest Districts. However, it is a dominant commercial species internationally and </w:t>
      </w:r>
      <w:r>
        <w:t>has</w:t>
      </w:r>
      <w:r w:rsidR="00355D30" w:rsidRPr="00355D30">
        <w:t xml:space="preserve"> a history of commercialization in the state. It is a particularly important tree species in the context of fuel hazard reduction on the central coast of California and certainly factors into the protection of coastal communities.</w:t>
      </w:r>
      <w:r>
        <w:t xml:space="preserve"> </w:t>
      </w:r>
      <w:r w:rsidR="00C946EE">
        <w:t xml:space="preserve">There are </w:t>
      </w:r>
      <w:r>
        <w:t>limited</w:t>
      </w:r>
      <w:r w:rsidR="00C946EE" w:rsidRPr="00355D30">
        <w:t xml:space="preserve"> </w:t>
      </w:r>
      <w:r w:rsidR="00355D30" w:rsidRPr="00355D30">
        <w:t>opportunities for communities attempting to reduce heavy fuel loading in Monterey pine forests within the Coastal Zone because it is on the Group B species list in an area without Group A species. Various stakeholders have also requested that the designation of other Group B species</w:t>
      </w:r>
      <w:r w:rsidR="00B36CF4">
        <w:t xml:space="preserve"> be</w:t>
      </w:r>
      <w:r w:rsidR="00355D30" w:rsidRPr="00355D30">
        <w:t xml:space="preserve"> reevaluated</w:t>
      </w:r>
      <w:r w:rsidR="00B36CF4">
        <w:t>, including eucalyptus</w:t>
      </w:r>
      <w:r w:rsidR="00355D30" w:rsidRPr="00355D30">
        <w:t>.</w:t>
      </w:r>
    </w:p>
    <w:p w14:paraId="5710B6AF" w14:textId="6CC69C74" w:rsidR="00355D30" w:rsidRPr="0073257D" w:rsidRDefault="00355D30" w:rsidP="0021169F">
      <w:pPr>
        <w:pStyle w:val="BodyText"/>
      </w:pPr>
      <w:r w:rsidRPr="00355D30">
        <w:rPr>
          <w:b/>
        </w:rPr>
        <w:t>Status:</w:t>
      </w:r>
      <w:r w:rsidRPr="00355D30">
        <w:t xml:space="preserve"> The Committee </w:t>
      </w:r>
      <w:r w:rsidR="00944BE8">
        <w:t>is currently considering this item, and will continue to review it</w:t>
      </w:r>
      <w:r w:rsidRPr="00355D30">
        <w:t xml:space="preserve"> in </w:t>
      </w:r>
      <w:r w:rsidR="00274B46" w:rsidRPr="00355D30">
        <w:t>202</w:t>
      </w:r>
      <w:r w:rsidR="00274B46">
        <w:t>3</w:t>
      </w:r>
      <w:r w:rsidRPr="00355D30">
        <w:t>.</w:t>
      </w:r>
    </w:p>
    <w:p w14:paraId="43B9E8DE" w14:textId="77777777" w:rsidR="00355D30" w:rsidRPr="00355D30" w:rsidRDefault="00355D30" w:rsidP="0021169F">
      <w:pPr>
        <w:pStyle w:val="BodyText"/>
      </w:pPr>
    </w:p>
    <w:p w14:paraId="5489A837" w14:textId="5D50E01D" w:rsidR="00355D30" w:rsidRPr="00355D30" w:rsidRDefault="00355D30" w:rsidP="00641317">
      <w:pPr>
        <w:pStyle w:val="Heading4"/>
      </w:pPr>
      <w:r w:rsidRPr="00355D30">
        <w:t xml:space="preserve">“Meadows and Wet Areas” and “Wet Meadows and other Wet Areas” </w:t>
      </w:r>
    </w:p>
    <w:p w14:paraId="40071A5A" w14:textId="270ECB8B" w:rsidR="00355D30" w:rsidRPr="00355D30" w:rsidRDefault="008C5748" w:rsidP="0021169F">
      <w:pPr>
        <w:pStyle w:val="BodyText"/>
      </w:pPr>
      <w:r w:rsidRPr="00355D30">
        <w:rPr>
          <w:b/>
        </w:rPr>
        <w:t>Objective:</w:t>
      </w:r>
      <w:r w:rsidRPr="00355D30">
        <w:t xml:space="preserve"> </w:t>
      </w:r>
      <w:r w:rsidR="00355D30" w:rsidRPr="00355D30">
        <w:t xml:space="preserve">The </w:t>
      </w:r>
      <w:r w:rsidR="003663BB" w:rsidRPr="00355D30">
        <w:t xml:space="preserve">term </w:t>
      </w:r>
      <w:r w:rsidR="00355D30" w:rsidRPr="00355D30">
        <w:t xml:space="preserve">“Meadows and Wet Areas” </w:t>
      </w:r>
      <w:r w:rsidR="003663BB">
        <w:t xml:space="preserve">is used </w:t>
      </w:r>
      <w:r w:rsidR="00865342">
        <w:t xml:space="preserve">in the Rules </w:t>
      </w:r>
      <w:r w:rsidR="003663BB">
        <w:t xml:space="preserve">to describe both areas that do not support trees and areas that require additional consideration of ecological impacts. </w:t>
      </w:r>
      <w:r w:rsidR="00355D30" w:rsidRPr="00355D30">
        <w:t>“Wet Meadows and other Wet Areas</w:t>
      </w:r>
      <w:r w:rsidR="003663BB">
        <w:t xml:space="preserve">” </w:t>
      </w:r>
      <w:r w:rsidR="006777C7">
        <w:t>i</w:t>
      </w:r>
      <w:r w:rsidR="003663BB">
        <w:t xml:space="preserve">s used only for </w:t>
      </w:r>
      <w:r w:rsidR="008A0241">
        <w:t xml:space="preserve">consideration of ecological impacts. Otherwise, the </w:t>
      </w:r>
      <w:r w:rsidR="006777C7">
        <w:t xml:space="preserve">two terms have </w:t>
      </w:r>
      <w:r w:rsidR="00355D30" w:rsidRPr="00355D30">
        <w:t xml:space="preserve">almost identical definitions. </w:t>
      </w:r>
      <w:r w:rsidR="006777C7" w:rsidRPr="00355D30">
        <w:t>Both</w:t>
      </w:r>
      <w:r w:rsidR="00355D30" w:rsidRPr="00355D30">
        <w:t xml:space="preserve"> </w:t>
      </w:r>
      <w:r w:rsidR="00582917">
        <w:t>terms</w:t>
      </w:r>
      <w:r w:rsidR="00582917" w:rsidRPr="00355D30">
        <w:t xml:space="preserve"> </w:t>
      </w:r>
      <w:r w:rsidR="00355D30" w:rsidRPr="00355D30">
        <w:t>are problematic in several ways:</w:t>
      </w:r>
    </w:p>
    <w:p w14:paraId="6B8AB666" w14:textId="2A09E163" w:rsidR="00355D30" w:rsidRPr="00355D30" w:rsidRDefault="00355D30" w:rsidP="0021169F">
      <w:pPr>
        <w:pStyle w:val="BodyText"/>
        <w:numPr>
          <w:ilvl w:val="0"/>
          <w:numId w:val="4"/>
        </w:numPr>
      </w:pPr>
      <w:r w:rsidRPr="00355D30">
        <w:t xml:space="preserve">The definitions conflate two very different types of areas: meadows and wet areas. While there may be some </w:t>
      </w:r>
      <w:r w:rsidR="00F16617" w:rsidRPr="00355D30">
        <w:t>overlap,</w:t>
      </w:r>
      <w:r w:rsidRPr="00355D30">
        <w:t xml:space="preserve"> they are two distinct and very different ecological systems and are not </w:t>
      </w:r>
      <w:r w:rsidR="0072335F" w:rsidRPr="00355D30">
        <w:t>equivalent.</w:t>
      </w:r>
    </w:p>
    <w:p w14:paraId="438460BD" w14:textId="38369FFE" w:rsidR="00355D30" w:rsidRPr="00355D30" w:rsidRDefault="00355D30" w:rsidP="0021169F">
      <w:pPr>
        <w:pStyle w:val="BodyText"/>
        <w:numPr>
          <w:ilvl w:val="0"/>
          <w:numId w:val="4"/>
        </w:numPr>
      </w:pPr>
      <w:r w:rsidRPr="00355D30">
        <w:t xml:space="preserve">The definitions lack temporal consistency. What may be “moist on the surface” during most of a year with historically average precipitation may not be moist on the surface during a year with significantly less precipitation. This lack of consistency creates a problem for enforcement and an atmosphere of regulatory </w:t>
      </w:r>
      <w:r w:rsidR="00F16617" w:rsidRPr="00355D30">
        <w:t>uncertainty.</w:t>
      </w:r>
    </w:p>
    <w:p w14:paraId="48800BE6" w14:textId="28090D8D" w:rsidR="00355D30" w:rsidRPr="00355D30" w:rsidRDefault="00355D30" w:rsidP="0021169F">
      <w:pPr>
        <w:pStyle w:val="BodyText"/>
        <w:numPr>
          <w:ilvl w:val="0"/>
          <w:numId w:val="4"/>
        </w:numPr>
      </w:pPr>
      <w:r w:rsidRPr="00355D30">
        <w:t xml:space="preserve">The definitions recognize only those areas “which are moist on the </w:t>
      </w:r>
      <w:r w:rsidRPr="00355D30">
        <w:lastRenderedPageBreak/>
        <w:t xml:space="preserve">surface throughout most of the year,” but not areas that may have continuous or recurrent saturation in the upper </w:t>
      </w:r>
      <w:r w:rsidR="0072335F" w:rsidRPr="00355D30">
        <w:t>substrate.</w:t>
      </w:r>
    </w:p>
    <w:p w14:paraId="73555D34" w14:textId="77777777" w:rsidR="00355D30" w:rsidRPr="00355D30" w:rsidRDefault="00355D30" w:rsidP="0021169F">
      <w:pPr>
        <w:pStyle w:val="BodyText"/>
        <w:numPr>
          <w:ilvl w:val="0"/>
          <w:numId w:val="4"/>
        </w:numPr>
      </w:pPr>
      <w:r w:rsidRPr="00355D30">
        <w:t xml:space="preserve">Having one definition for all other state programs and a separate definition unique to the Forest Practice Rules is by its nature inconsistent and counter to the goal of providing clarity. Additionally, separate definitions create regulatory uncertainty for the regulated public. Executive Order W-59-93, signed by Governor Pete Wilson on August 23, </w:t>
      </w:r>
      <w:proofErr w:type="gramStart"/>
      <w:r w:rsidRPr="00355D30">
        <w:t>1993</w:t>
      </w:r>
      <w:proofErr w:type="gramEnd"/>
      <w:r w:rsidRPr="00355D30">
        <w:t xml:space="preserve"> and still in effect today, declares that it is the policy of the State of California that all State programs and policies that affect the wetlands of California should be coordinated.</w:t>
      </w:r>
    </w:p>
    <w:p w14:paraId="2CE58E40" w14:textId="77777777" w:rsidR="00355D30" w:rsidRPr="00355D30" w:rsidRDefault="00355D30" w:rsidP="0021169F">
      <w:pPr>
        <w:pStyle w:val="BodyText"/>
      </w:pPr>
    </w:p>
    <w:p w14:paraId="5D641F7D" w14:textId="664E2079" w:rsidR="00355D30" w:rsidRDefault="00355D30" w:rsidP="0021169F">
      <w:pPr>
        <w:pStyle w:val="BodyText"/>
      </w:pPr>
      <w:r w:rsidRPr="00355D30">
        <w:t>The State and Regional Water Boards</w:t>
      </w:r>
      <w:r w:rsidR="00D60D0D">
        <w:t xml:space="preserve"> has</w:t>
      </w:r>
      <w:r w:rsidRPr="00355D30">
        <w:t xml:space="preserve"> suggest</w:t>
      </w:r>
      <w:r w:rsidR="00F16617">
        <w:t xml:space="preserve">ed </w:t>
      </w:r>
      <w:r w:rsidR="00F90577">
        <w:t>the following solutions. T</w:t>
      </w:r>
      <w:r w:rsidR="00F90577" w:rsidRPr="00355D30">
        <w:t xml:space="preserve">he </w:t>
      </w:r>
      <w:r w:rsidRPr="00355D30">
        <w:t>definitions of “Meadows” and “Wet Areas” should be separated since these are two distinct ecological systems.</w:t>
      </w:r>
      <w:r w:rsidR="00F90577">
        <w:t xml:space="preserve"> </w:t>
      </w:r>
      <w:r w:rsidRPr="00355D30">
        <w:t>The definition of “Meadows” should include similar components of the original definition, specifically that the meadows support grasses and forbs as their principal vegetative cover.</w:t>
      </w:r>
      <w:r w:rsidR="00F90577">
        <w:t xml:space="preserve"> </w:t>
      </w:r>
      <w:r w:rsidRPr="00355D30">
        <w:t>The definition of “Wet Areas” should be revised to: A) Address temporal consistency by including a phrase such as, “under hydrologic conditions that are consistent with the long term precipitation record,” B) Include continuous or recurrent saturation of the upper substrate caused by groundwater, or shallow surface water, or both, C) Include duration of such saturation, and D) Allow the area’s vegetation to be dominated by hydrophytes or to lack vegetation.</w:t>
      </w:r>
      <w:r w:rsidR="00F16617">
        <w:t xml:space="preserve"> </w:t>
      </w:r>
    </w:p>
    <w:p w14:paraId="3930D29A" w14:textId="771A4BE3" w:rsidR="002D23D0" w:rsidRPr="002D23D0" w:rsidRDefault="002D23D0" w:rsidP="002D23D0">
      <w:pPr>
        <w:pStyle w:val="Default"/>
        <w:rPr>
          <w:color w:val="auto"/>
        </w:rPr>
      </w:pPr>
      <w:r w:rsidRPr="00AF5ACF">
        <w:rPr>
          <w:rFonts w:ascii="Century Gothic" w:hAnsi="Century Gothic"/>
          <w:b/>
          <w:bCs/>
          <w:color w:val="auto"/>
        </w:rPr>
        <w:t xml:space="preserve">Status: </w:t>
      </w:r>
      <w:r w:rsidRPr="00AF5ACF">
        <w:rPr>
          <w:rFonts w:ascii="Century Gothic" w:hAnsi="Century Gothic"/>
          <w:color w:val="auto"/>
        </w:rPr>
        <w:t>The Committee has not begun deliberation on this item</w:t>
      </w:r>
      <w:r>
        <w:rPr>
          <w:rFonts w:ascii="Century Gothic" w:hAnsi="Century Gothic"/>
          <w:color w:val="auto"/>
        </w:rPr>
        <w:t>.</w:t>
      </w:r>
    </w:p>
    <w:p w14:paraId="6518DB78" w14:textId="77777777" w:rsidR="00355D30" w:rsidRPr="00355D30" w:rsidRDefault="00355D30" w:rsidP="0021169F">
      <w:pPr>
        <w:pStyle w:val="BodyText"/>
      </w:pPr>
    </w:p>
    <w:p w14:paraId="05A87B5D" w14:textId="585E8AA2" w:rsidR="00355D30" w:rsidRPr="00355D30" w:rsidRDefault="00355D30" w:rsidP="00641317">
      <w:pPr>
        <w:pStyle w:val="Heading4"/>
      </w:pPr>
      <w:r w:rsidRPr="00355D30">
        <w:t xml:space="preserve">Issues with Municipalities Regulating Timber Harvest of Group A/B species </w:t>
      </w:r>
    </w:p>
    <w:p w14:paraId="7B8DA510" w14:textId="46DE39ED" w:rsidR="00355D30" w:rsidRDefault="008C5748" w:rsidP="0021169F">
      <w:pPr>
        <w:pStyle w:val="BodyText"/>
      </w:pPr>
      <w:r w:rsidRPr="00355D30">
        <w:rPr>
          <w:b/>
        </w:rPr>
        <w:t>Objective:</w:t>
      </w:r>
      <w:r w:rsidRPr="00355D30">
        <w:t xml:space="preserve"> </w:t>
      </w:r>
      <w:r w:rsidR="007840D3">
        <w:t>The</w:t>
      </w:r>
      <w:r w:rsidR="00355D30" w:rsidRPr="00355D30">
        <w:t xml:space="preserve"> Board is the governing body that is responsible for creating rules that guide the timber harvest process of commercial timber species on lands deemed timberland in this State</w:t>
      </w:r>
      <w:r>
        <w:t>. Some</w:t>
      </w:r>
      <w:r w:rsidRPr="00355D30">
        <w:t xml:space="preserve"> </w:t>
      </w:r>
      <w:r w:rsidR="00355D30" w:rsidRPr="00355D30">
        <w:t>municipalities within the state, both county and city, have alternative processes</w:t>
      </w:r>
      <w:r w:rsidR="00B15B9C">
        <w:t xml:space="preserve"> that </w:t>
      </w:r>
      <w:r w:rsidR="00355D30" w:rsidRPr="00355D30">
        <w:t xml:space="preserve">exist in addition to the permitting process and rules governed by the BOFAFP and CAL FIRE. Some municipalities will not allow any timber harvest, even with a CAL FIRE permit, on lands in their jurisdiction. Others do not recognize a CAL </w:t>
      </w:r>
      <w:r w:rsidR="00243154" w:rsidRPr="00355D30">
        <w:t xml:space="preserve">FIRE </w:t>
      </w:r>
      <w:r w:rsidR="00355D30" w:rsidRPr="00355D30">
        <w:t xml:space="preserve">permit as allowing harvest and are requiring RPFs to have a secondary permit approved by local planning departments or commissions. These permits often require fees and an inventory of each tree designated for harvest that is to be submitted to the planning departments for approval and review. The work is often not required to be done by </w:t>
      </w:r>
      <w:r w:rsidR="00243154" w:rsidRPr="00355D30">
        <w:t>an</w:t>
      </w:r>
      <w:r w:rsidR="00355D30" w:rsidRPr="00355D30">
        <w:t xml:space="preserve"> RPF. These requirements are being required on timberlands outside of the 150’ structure protection zone and are being required on emergency timber permits for post fire/insect infestations, fuel hazard reductions, structure protections and less than 3-acre conversions. Often these non-forestry entities restrict timber removal and thus are not allowing the professional foresters community to conduct fuel reduction within communities and thus not allowing the much-needed work to reduce fuel loading to reduce catastrophic wildfire without their approval. </w:t>
      </w:r>
    </w:p>
    <w:p w14:paraId="566119AE" w14:textId="53D50871" w:rsidR="002D23D0" w:rsidRPr="002D23D0" w:rsidRDefault="002D23D0" w:rsidP="002D23D0">
      <w:pPr>
        <w:pStyle w:val="Default"/>
        <w:rPr>
          <w:color w:val="auto"/>
        </w:rPr>
      </w:pPr>
      <w:r w:rsidRPr="00AF5ACF">
        <w:rPr>
          <w:rFonts w:ascii="Century Gothic" w:hAnsi="Century Gothic"/>
          <w:b/>
          <w:bCs/>
          <w:color w:val="auto"/>
        </w:rPr>
        <w:lastRenderedPageBreak/>
        <w:t xml:space="preserve">Status: </w:t>
      </w:r>
      <w:r w:rsidR="005B035F">
        <w:rPr>
          <w:rFonts w:ascii="Century Gothic" w:hAnsi="Century Gothic"/>
          <w:color w:val="auto"/>
        </w:rPr>
        <w:t xml:space="preserve">The Committee will address these issues as they arise. </w:t>
      </w:r>
    </w:p>
    <w:p w14:paraId="6832ED3C" w14:textId="77777777" w:rsidR="00355D30" w:rsidRDefault="00355D30" w:rsidP="00641317">
      <w:pPr>
        <w:pStyle w:val="Heading4"/>
      </w:pPr>
    </w:p>
    <w:p w14:paraId="6539A382" w14:textId="2704A2AC" w:rsidR="00B86EDF" w:rsidRPr="00355D30" w:rsidRDefault="00B86EDF" w:rsidP="00641317">
      <w:pPr>
        <w:pStyle w:val="Heading4"/>
      </w:pPr>
      <w:r w:rsidRPr="00355D30">
        <w:t>Review of Required Post-Harvest Stocking Standards (14 § CCR 913; 14 CCR § 1071</w:t>
      </w:r>
      <w:r w:rsidR="00DA03D1">
        <w:t>)</w:t>
      </w:r>
    </w:p>
    <w:p w14:paraId="0BDB07E0" w14:textId="77777777" w:rsidR="00CF61C1" w:rsidRDefault="00CF61C1" w:rsidP="00CF61C1">
      <w:pPr>
        <w:pStyle w:val="xmsobodytext"/>
      </w:pPr>
      <w:r>
        <w:rPr>
          <w:b/>
          <w:bCs/>
        </w:rPr>
        <w:t xml:space="preserve">Objective: </w:t>
      </w:r>
      <w:r>
        <w:t xml:space="preserve">Pursuant to Assembly Bills (AB) 2082 (2014) and 417 (2015), Affecting Public Resource Code (PRC) 4561:  The board may investigate the current stocking standards as they relate to various regeneration methods and forest health, including fuel hazard reduction, within certain forest types.  In addition, several questions have been raised regarding the suitability of the existing forest practice rules addressing current empirical understanding of various elements, including the relationship between forest spatial arrangement, or temporal variables and various aspects of forest health and other ecological systems. </w:t>
      </w:r>
    </w:p>
    <w:p w14:paraId="6CC9DD43" w14:textId="77777777" w:rsidR="00CF61C1" w:rsidRDefault="00CF61C1" w:rsidP="00CF61C1">
      <w:pPr>
        <w:pStyle w:val="xmsobodytext"/>
      </w:pPr>
    </w:p>
    <w:p w14:paraId="173A38B8" w14:textId="0F0E9394" w:rsidR="00CF61C1" w:rsidRDefault="00CF61C1" w:rsidP="00CF61C1">
      <w:pPr>
        <w:pStyle w:val="xmsobodytext"/>
      </w:pPr>
      <w:r>
        <w:t>The legislation above granted the Board the authority to review required minimum stocking standards pursuant to PRC § 4561. The Stocking and Silvicultural Amendments were adopted by the Board in September of 2019, which took effect on January 1, 2020.  Since that time, an “uneven-aged working group” has been formed to address this issue related to those basal area stocking requirements within the rules. These deliberations resulted in a three</w:t>
      </w:r>
      <w:r w:rsidR="00263C44">
        <w:t>-</w:t>
      </w:r>
      <w:r>
        <w:t xml:space="preserve">phased approach.  Phase one concluded with the Board’s adoption of “Forest Resiliency Amendments, 2022”, which provided for greater spatial arrangement in unevenaged silviculture.  </w:t>
      </w:r>
    </w:p>
    <w:p w14:paraId="2F9EBB8B" w14:textId="77777777" w:rsidR="00CF61C1" w:rsidRDefault="00CF61C1" w:rsidP="00CF61C1">
      <w:pPr>
        <w:pStyle w:val="xmsobodytext"/>
      </w:pPr>
    </w:p>
    <w:p w14:paraId="778D8F05" w14:textId="77777777" w:rsidR="00CF61C1" w:rsidRDefault="00CF61C1" w:rsidP="00CF61C1">
      <w:pPr>
        <w:pStyle w:val="xmsobodytext"/>
        <w:rPr>
          <w:b/>
          <w:bCs/>
        </w:rPr>
      </w:pPr>
      <w:r>
        <w:t>Phase two will focus on recovery from large fires in the Southern Subdistrict. Much of the subdistrict was historically managed with unevenaged management, but after the 2020 fires, there are now large tracts of even-aged stands. The Uneven-Aged Working Group is seeking strategies to allow a return to uneven-aged management in those areas.  Phase three will follow that effort with a review of the general approach to unevenaged silviculture in areas affected by large scale fire.</w:t>
      </w:r>
    </w:p>
    <w:p w14:paraId="0CB4B69E" w14:textId="77777777" w:rsidR="00CF61C1" w:rsidRDefault="00CF61C1" w:rsidP="00CF61C1">
      <w:pPr>
        <w:pStyle w:val="xmsobodytext"/>
        <w:rPr>
          <w:b/>
          <w:bCs/>
        </w:rPr>
      </w:pPr>
    </w:p>
    <w:p w14:paraId="0BCE925C" w14:textId="77777777" w:rsidR="00CF61C1" w:rsidRDefault="00CF61C1" w:rsidP="00CF61C1">
      <w:pPr>
        <w:pStyle w:val="xmsobodytext"/>
      </w:pPr>
      <w:r>
        <w:rPr>
          <w:b/>
          <w:bCs/>
        </w:rPr>
        <w:t>Status:</w:t>
      </w:r>
      <w:r>
        <w:t xml:space="preserve"> The Uneven-aged Working Group met periodically through 2020-2022 and is anticipated to continue its efforts into 2023.</w:t>
      </w:r>
    </w:p>
    <w:p w14:paraId="73A7D480" w14:textId="77777777" w:rsidR="00F33B49" w:rsidRDefault="00F33B49" w:rsidP="0021169F">
      <w:pPr>
        <w:pStyle w:val="BodyText"/>
      </w:pPr>
    </w:p>
    <w:p w14:paraId="4FFB44BC" w14:textId="3A10A3DC" w:rsidR="0037494E" w:rsidRDefault="00F33B49" w:rsidP="00C85A55">
      <w:pPr>
        <w:pStyle w:val="Heading3"/>
      </w:pPr>
      <w:r>
        <w:t xml:space="preserve">PRIORITY 2 FOR </w:t>
      </w:r>
      <w:r w:rsidR="00694272">
        <w:t>202</w:t>
      </w:r>
      <w:r w:rsidR="007B2D3F">
        <w:t>3</w:t>
      </w:r>
      <w:r>
        <w:t>:</w:t>
      </w:r>
    </w:p>
    <w:p w14:paraId="506FC524" w14:textId="226A194F" w:rsidR="00F33B49" w:rsidRPr="006E18B8" w:rsidRDefault="00F33B49" w:rsidP="00641317">
      <w:pPr>
        <w:pStyle w:val="Heading4"/>
      </w:pPr>
      <w:r w:rsidRPr="009A5503">
        <w:t>Board Policy</w:t>
      </w:r>
      <w:r w:rsidRPr="006E18B8">
        <w:t xml:space="preserve"> Review</w:t>
      </w:r>
      <w:r w:rsidR="007B7778">
        <w:t>:</w:t>
      </w:r>
    </w:p>
    <w:p w14:paraId="6AEACCFE" w14:textId="5CCB4AAB" w:rsidR="00F33B49" w:rsidRPr="006E18B8" w:rsidRDefault="00F33B49" w:rsidP="0021169F">
      <w:pPr>
        <w:pStyle w:val="BodyText"/>
      </w:pPr>
      <w:r w:rsidRPr="004C6BE0">
        <w:rPr>
          <w:b/>
        </w:rPr>
        <w:t>Objective</w:t>
      </w:r>
      <w:r w:rsidRPr="00C87F0C">
        <w:rPr>
          <w:b/>
        </w:rPr>
        <w:t>:</w:t>
      </w:r>
      <w:r w:rsidRPr="006E18B8">
        <w:t xml:space="preserve"> The Board currently has many policies in place, some dating back decades. The Board aspires to review and contemporize all policies and make them available to the public via the Board’s website. Board policies cover a myriad of topics; committee assignment will be based upon the subject matter of the individual policy under review. </w:t>
      </w:r>
      <w:proofErr w:type="gramStart"/>
      <w:r w:rsidRPr="006E18B8">
        <w:t>Particular focus</w:t>
      </w:r>
      <w:proofErr w:type="gramEnd"/>
      <w:r w:rsidRPr="006E18B8">
        <w:t xml:space="preserve"> will be paid by the Management Committee in 202</w:t>
      </w:r>
      <w:r w:rsidR="007B7778">
        <w:t>3</w:t>
      </w:r>
      <w:r w:rsidRPr="006E18B8">
        <w:t xml:space="preserve"> to the Board’s Policy 0356, Vegetation Management Program.</w:t>
      </w:r>
    </w:p>
    <w:p w14:paraId="1B7E8EAD" w14:textId="11C2042C" w:rsidR="002E1610" w:rsidRDefault="00F33B49" w:rsidP="0021169F">
      <w:pPr>
        <w:pStyle w:val="BodyText"/>
      </w:pPr>
      <w:r w:rsidRPr="004C6BE0">
        <w:rPr>
          <w:b/>
        </w:rPr>
        <w:lastRenderedPageBreak/>
        <w:t>Status</w:t>
      </w:r>
      <w:r w:rsidRPr="00C87F0C">
        <w:rPr>
          <w:b/>
        </w:rPr>
        <w:t>:</w:t>
      </w:r>
      <w:r w:rsidRPr="006E18B8">
        <w:t xml:space="preserve"> It is anticipated that the Committee will be presented with, and may vote to approve and refer to the full Board, an updated version of Policy 0356 that reflects modern environmental priorities, updated understandings of ecology and management, and recent and current fire prevention programs.</w:t>
      </w:r>
    </w:p>
    <w:p w14:paraId="24E3BB2F" w14:textId="77777777" w:rsidR="00A13327" w:rsidRPr="008E69A6" w:rsidRDefault="00A13327" w:rsidP="0021169F">
      <w:pPr>
        <w:pStyle w:val="BodyText"/>
      </w:pPr>
    </w:p>
    <w:p w14:paraId="4F90BFC2" w14:textId="42A96783" w:rsidR="00A13327" w:rsidRPr="008E69A6" w:rsidRDefault="00A13327" w:rsidP="00641317">
      <w:pPr>
        <w:pStyle w:val="Heading4"/>
      </w:pPr>
      <w:r w:rsidRPr="008E69A6">
        <w:t>Pacific Forest and Watershed Lands Stewardship Council</w:t>
      </w:r>
      <w:r w:rsidR="00783AF5">
        <w:t xml:space="preserve"> </w:t>
      </w:r>
    </w:p>
    <w:p w14:paraId="7F194C77" w14:textId="77777777" w:rsidR="00A13327" w:rsidRPr="008E69A6" w:rsidRDefault="00A13327" w:rsidP="0021169F">
      <w:pPr>
        <w:pStyle w:val="BodyText"/>
      </w:pPr>
      <w:r w:rsidRPr="008E69A6">
        <w:rPr>
          <w:b/>
        </w:rPr>
        <w:t>Objective:</w:t>
      </w:r>
      <w:r w:rsidRPr="008E69A6">
        <w:t xml:space="preserve"> The Board approved CAL FIRE’s effort to acquire lands in the Stewardship Council planning units of “Pit River,” “Battle Creek,” “Cow Creek,” “Burney Gardens,” “Lake Spaulding,” “Bear River,” “North Fork Mokelumne River,” and “Lyons Reservoir” that would be suitable for inclusion in CAL FIRE’s Demonstration State Forest Program. Substantial work is required of CAL FIRE for the acquisition of these lands and the Board must approve management plans for each parcel.</w:t>
      </w:r>
    </w:p>
    <w:p w14:paraId="48777160" w14:textId="7B3ED048" w:rsidR="00A13327" w:rsidRPr="001E0E57" w:rsidRDefault="00A13327" w:rsidP="0021169F">
      <w:pPr>
        <w:pStyle w:val="BodyText"/>
      </w:pPr>
      <w:r w:rsidRPr="008E69A6">
        <w:rPr>
          <w:b/>
        </w:rPr>
        <w:t>Status:</w:t>
      </w:r>
      <w:r w:rsidRPr="008E69A6">
        <w:t xml:space="preserve"> The Committee </w:t>
      </w:r>
      <w:r>
        <w:t xml:space="preserve">and Board </w:t>
      </w:r>
      <w:r w:rsidRPr="008E69A6">
        <w:t xml:space="preserve">look forward to reviewing management plans which are </w:t>
      </w:r>
      <w:r w:rsidR="007B7778">
        <w:t xml:space="preserve">provided to them for new land acquisitions. </w:t>
      </w:r>
    </w:p>
    <w:p w14:paraId="69593A1D" w14:textId="7B6BF5A4" w:rsidR="00EE5E8E" w:rsidRPr="006E18B8" w:rsidRDefault="00EE5E8E" w:rsidP="0021169F">
      <w:pPr>
        <w:pStyle w:val="BodyText"/>
      </w:pPr>
    </w:p>
    <w:p w14:paraId="21D1B791" w14:textId="34C840C2" w:rsidR="00F33B49" w:rsidRDefault="00F33B49" w:rsidP="00C85A55">
      <w:pPr>
        <w:pStyle w:val="Heading3"/>
      </w:pPr>
      <w:r>
        <w:t xml:space="preserve">PRIORITY 3 FOR </w:t>
      </w:r>
      <w:r w:rsidR="00752442">
        <w:t>202</w:t>
      </w:r>
      <w:r w:rsidR="00355D30">
        <w:t>3</w:t>
      </w:r>
      <w:r>
        <w:t>:</w:t>
      </w:r>
    </w:p>
    <w:p w14:paraId="38D1C6F1" w14:textId="00097439" w:rsidR="00355D30" w:rsidRPr="00355D30" w:rsidRDefault="00355D30" w:rsidP="00641317">
      <w:pPr>
        <w:pStyle w:val="Heading4"/>
      </w:pPr>
      <w:r w:rsidRPr="00355D30">
        <w:t xml:space="preserve">Utility ROW Operations </w:t>
      </w:r>
    </w:p>
    <w:p w14:paraId="62C9CB76" w14:textId="77777777" w:rsidR="00355D30" w:rsidRPr="00355D30" w:rsidRDefault="00355D30" w:rsidP="0021169F">
      <w:pPr>
        <w:pStyle w:val="BodyText"/>
      </w:pPr>
      <w:r w:rsidRPr="00355D30">
        <w:rPr>
          <w:b/>
        </w:rPr>
        <w:t>Objective:</w:t>
      </w:r>
      <w:r w:rsidRPr="00355D30">
        <w:t xml:space="preserve"> Existing regulations related to the exemptions from portions of the Forest Practice Act for construction and maintenance of rights-of-way within 14 CCR § 1104.1(b) and (c) lack significant clarity related to the submission of notices, general application, mapping, and other requirements.</w:t>
      </w:r>
    </w:p>
    <w:p w14:paraId="728F6BBE" w14:textId="16F476C8" w:rsidR="00355D30" w:rsidRDefault="00355D30" w:rsidP="0021169F">
      <w:pPr>
        <w:pStyle w:val="BodyText"/>
      </w:pPr>
      <w:r w:rsidRPr="00355D30">
        <w:rPr>
          <w:b/>
        </w:rPr>
        <w:t>Status:</w:t>
      </w:r>
      <w:r w:rsidRPr="00355D30">
        <w:t xml:space="preserve"> </w:t>
      </w:r>
      <w:r w:rsidR="00D72968">
        <w:t>Ru</w:t>
      </w:r>
      <w:r w:rsidRPr="00355D30">
        <w:t xml:space="preserve">lemaking efforts </w:t>
      </w:r>
      <w:r w:rsidR="00D72968">
        <w:t>on this issue are</w:t>
      </w:r>
      <w:r w:rsidR="00D72968" w:rsidRPr="00355D30">
        <w:t xml:space="preserve"> deferred</w:t>
      </w:r>
      <w:r w:rsidRPr="00355D30">
        <w:t xml:space="preserve"> </w:t>
      </w:r>
      <w:r w:rsidR="00D72968">
        <w:t>pending</w:t>
      </w:r>
      <w:r w:rsidRPr="00355D30">
        <w:t xml:space="preserve"> review</w:t>
      </w:r>
      <w:r w:rsidR="00D72968">
        <w:t xml:space="preserve"> of</w:t>
      </w:r>
      <w:r w:rsidRPr="00355D30">
        <w:t xml:space="preserve"> Statewide </w:t>
      </w:r>
      <w:r w:rsidR="00D72968" w:rsidRPr="00355D30">
        <w:t>utility</w:t>
      </w:r>
      <w:r w:rsidR="00D72968">
        <w:t>-</w:t>
      </w:r>
      <w:r w:rsidRPr="00355D30">
        <w:t>related policies</w:t>
      </w:r>
      <w:r w:rsidR="00D72968">
        <w:t xml:space="preserve"> by CNRA and the Governor’s office.</w:t>
      </w:r>
    </w:p>
    <w:p w14:paraId="680F8B93" w14:textId="77777777" w:rsidR="002D23D0" w:rsidRPr="00647F8E" w:rsidRDefault="002D23D0" w:rsidP="0021169F">
      <w:pPr>
        <w:pStyle w:val="BodyText"/>
      </w:pPr>
    </w:p>
    <w:p w14:paraId="14C52CBD" w14:textId="77777777" w:rsidR="006520B8" w:rsidRPr="005C3209" w:rsidRDefault="006520B8" w:rsidP="00641317">
      <w:pPr>
        <w:pStyle w:val="Heading4"/>
      </w:pPr>
      <w:r w:rsidRPr="005C3209">
        <w:t>Issues Pertaining to Conversion of Timberland:</w:t>
      </w:r>
    </w:p>
    <w:p w14:paraId="6B521A30" w14:textId="60872FE3" w:rsidR="006520B8" w:rsidRDefault="006520B8" w:rsidP="0021169F">
      <w:pPr>
        <w:pStyle w:val="BodyText"/>
      </w:pPr>
      <w:r w:rsidRPr="005C3209">
        <w:t>Regulatory amendments to 14 CCR § 1100(g)(2) - Definition of Timberland Conversion - Existing Board regulations are currently inconsistent with PRC § 4621 as it applies to conversion of timberland. Current Board regulations address proposed conversions in the Timber Production Zone (TPZ) where an immediate re-zone out of TPZ has been approved. State law does not recognize zoning as a controlling factor in the conversion of timberland. CAL FIRE has requested that the Board bring the current definition of conversion into conformance with State law to recognize all timberland conversions regardless of zoning status.</w:t>
      </w:r>
    </w:p>
    <w:p w14:paraId="3D450097" w14:textId="77777777" w:rsidR="00E67A05" w:rsidRPr="005C3209" w:rsidRDefault="00E67A05" w:rsidP="0021169F">
      <w:pPr>
        <w:pStyle w:val="BodyText"/>
      </w:pPr>
    </w:p>
    <w:p w14:paraId="47C380DF" w14:textId="61A56949" w:rsidR="006520B8" w:rsidRDefault="006520B8" w:rsidP="0021169F">
      <w:pPr>
        <w:pStyle w:val="BodyText"/>
      </w:pPr>
      <w:r w:rsidRPr="005C3209">
        <w:rPr>
          <w:noProof/>
        </w:rPr>
        <mc:AlternateContent>
          <mc:Choice Requires="wps">
            <w:drawing>
              <wp:anchor distT="0" distB="0" distL="114300" distR="114300" simplePos="0" relativeHeight="251667456" behindDoc="1" locked="0" layoutInCell="1" allowOverlap="1" wp14:anchorId="1429D895" wp14:editId="2466769E">
                <wp:simplePos x="0" y="0"/>
                <wp:positionH relativeFrom="page">
                  <wp:posOffset>11441430</wp:posOffset>
                </wp:positionH>
                <wp:positionV relativeFrom="paragraph">
                  <wp:posOffset>7501890</wp:posOffset>
                </wp:positionV>
                <wp:extent cx="2540" cy="132715"/>
                <wp:effectExtent l="11430" t="13335" r="5080" b="6350"/>
                <wp:wrapNone/>
                <wp:docPr id="5" name="Freeform: 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1283 1074"/>
                            <a:gd name="T3" fmla="*/ 1283 h 209"/>
                            <a:gd name="T4" fmla="+- 0 1638 1638"/>
                            <a:gd name="T5" fmla="*/ T4 w 4"/>
                            <a:gd name="T6" fmla="+- 0 1279 1074"/>
                            <a:gd name="T7" fmla="*/ 1279 h 209"/>
                            <a:gd name="T8" fmla="+- 0 1638 1638"/>
                            <a:gd name="T9" fmla="*/ T8 w 4"/>
                            <a:gd name="T10" fmla="+- 0 1077 1074"/>
                            <a:gd name="T11" fmla="*/ 1077 h 209"/>
                            <a:gd name="T12" fmla="+- 0 1642 1638"/>
                            <a:gd name="T13" fmla="*/ T12 w 4"/>
                            <a:gd name="T14" fmla="+- 0 1074 1074"/>
                            <a:gd name="T15" fmla="*/ 107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755408" id="Freeform: Shape 5" o:spid="_x0000_s1026" alt="&quot;&quot;"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1pt,601.15pt,900.9pt,600.95pt,900.9pt,590.85pt,901.1pt,590.7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" filled="f" strokeweight=".14pt">
                <v:path arrowok="t" o:connecttype="custom" o:connectlocs="2540,814705;0,812165;0,683895;2540,681990" o:connectangles="0,0,0,0"/>
                <o:lock v:ext="edit" verticies="t"/>
                <w10:wrap anchorx="page"/>
              </v:polyline>
            </w:pict>
          </mc:Fallback>
        </mc:AlternateContent>
      </w:r>
      <w:r w:rsidRPr="005C3209">
        <w:t>Additionally, timberland conversion on non-TPZ land in 14 CCR § 1101(g)(1) is identified as transforming timberland to a non-timber use where “(A) Future timber harvests will be prevented or infeasible because of land occupancy and activities thereon”, among other conditions. However, on TPZ lands, timberland conversion is identified as “…the immediate rezoning of TPZ lands,” but conversion exemptions pursuant to 14 CCR § 1104.1 are excepted from this requirement of</w:t>
      </w:r>
      <w:r w:rsidRPr="005C3209">
        <w:rPr>
          <w:noProof/>
        </w:rPr>
        <mc:AlternateContent>
          <mc:Choice Requires="wps">
            <w:drawing>
              <wp:anchor distT="0" distB="0" distL="114300" distR="114300" simplePos="0" relativeHeight="251669504" behindDoc="1" locked="0" layoutInCell="1" allowOverlap="1" wp14:anchorId="09E13E81" wp14:editId="212789B2">
                <wp:simplePos x="0" y="0"/>
                <wp:positionH relativeFrom="page">
                  <wp:posOffset>2986405</wp:posOffset>
                </wp:positionH>
                <wp:positionV relativeFrom="paragraph">
                  <wp:posOffset>211455</wp:posOffset>
                </wp:positionV>
                <wp:extent cx="0" cy="130810"/>
                <wp:effectExtent l="24130" t="19050" r="23495" b="2159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0BD9" id="Straight Connector 4" o:spid="_x0000_s1026" alt="&quot;&quot;"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16.65pt" to="23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" strokecolor="#eaeaea" strokeweight="2.52pt">
                <w10:wrap anchorx="page"/>
              </v:line>
            </w:pict>
          </mc:Fallback>
        </mc:AlternateContent>
      </w:r>
      <w:r w:rsidRPr="005C3209">
        <w:t xml:space="preserve"> immediate rezoning. This presents a potential issue with the regulations where the filing of a conversion exemption on TPZ land simply </w:t>
      </w:r>
      <w:r w:rsidRPr="005C3209">
        <w:lastRenderedPageBreak/>
        <w:t>becomes a de jure conversion even when there is no “conversion” of the land, as defined by plain English or other Board regulations or statute.</w:t>
      </w:r>
    </w:p>
    <w:p w14:paraId="21C50DB5" w14:textId="77777777" w:rsidR="00E67A05" w:rsidRPr="005C3209" w:rsidRDefault="00E67A05" w:rsidP="0021169F">
      <w:pPr>
        <w:pStyle w:val="BodyText"/>
      </w:pPr>
    </w:p>
    <w:p w14:paraId="3233D855" w14:textId="77777777" w:rsidR="006520B8" w:rsidRPr="005C3209" w:rsidRDefault="006520B8" w:rsidP="0021169F">
      <w:pPr>
        <w:pStyle w:val="BodyText"/>
      </w:pPr>
      <w:r w:rsidRPr="005C3209">
        <w:t>Regulatory amendments to 14 CCR § 895.1 – “Crop of Trees, Available for, and Capable of…” – Several Parties have made the request to address the definition of “crop of trees” to aid in identification of timberland. The Committee has received briefings from Board staff and CAL FIRE on potential options to address this issue.</w:t>
      </w:r>
    </w:p>
    <w:p w14:paraId="18F8999D" w14:textId="5C22DE60" w:rsidR="006520B8" w:rsidRDefault="006520B8" w:rsidP="0021169F">
      <w:pPr>
        <w:pStyle w:val="BodyText"/>
      </w:pPr>
      <w:r w:rsidRPr="005C3209">
        <w:rPr>
          <w:b/>
        </w:rPr>
        <w:t>Status:</w:t>
      </w:r>
      <w:r w:rsidRPr="005C3209">
        <w:t xml:space="preserve"> </w:t>
      </w:r>
      <w:r w:rsidR="008628D5">
        <w:t>The Committee may consider this issue again in 2023.</w:t>
      </w:r>
    </w:p>
    <w:p w14:paraId="3589EA9B" w14:textId="77777777" w:rsidR="00AF698A" w:rsidRPr="005C3209" w:rsidRDefault="00AF698A" w:rsidP="0021169F">
      <w:pPr>
        <w:pStyle w:val="BodyText"/>
      </w:pPr>
    </w:p>
    <w:p w14:paraId="1CD6D849" w14:textId="79D90E63" w:rsidR="00AF698A" w:rsidRPr="00AF698A" w:rsidRDefault="00AF698A" w:rsidP="00641317">
      <w:pPr>
        <w:pStyle w:val="Heading4"/>
      </w:pPr>
      <w:r w:rsidRPr="00AF698A">
        <w:t xml:space="preserve">14 CCR § 913.6 [933.6, 953.6] Alternative Prescriptions </w:t>
      </w:r>
    </w:p>
    <w:p w14:paraId="793437B7" w14:textId="77777777" w:rsidR="00AF698A" w:rsidRPr="00AF698A" w:rsidRDefault="00AF698A" w:rsidP="0021169F">
      <w:pPr>
        <w:pStyle w:val="BodyText"/>
      </w:pPr>
      <w:r w:rsidRPr="00AF698A">
        <w:rPr>
          <w:b/>
          <w:bCs/>
        </w:rPr>
        <w:t>Objective</w:t>
      </w:r>
      <w:r w:rsidRPr="00AF698A">
        <w:t>: Use of the Alternative Prescription silviculture in Timber Harvesting Plans (THPs) may be inadvertently resulting in “high-grading” of timber stands. As per 14 CCR § 913.6 [933.6, 953.6], an Alternative Prescription (AP) may be proposed by an RPF if it is determined that it is a more effective way or feasible way of achieving Maximum Sustained Production (MSP) of high-quality timber products.  However, recent practices have shown that minimizing logging costs or eliminating a need to plant the post-harvest stand is the driving factor for proposing an Alternative Prescription.  This may result in a post-harvest stand that is in direct contradiction of the 14 CCR § 953 objectives.  Examples of trees retained within a post-harvest AP stand include trees of poor form, trees previously in a suppressed or intermediate crown position, and trees of poor future growth potential. Evaluation of the AP regulations should be conducted to ensure that the purposes of the Act are achieved.</w:t>
      </w:r>
    </w:p>
    <w:p w14:paraId="634A6775" w14:textId="709E515D" w:rsidR="00AF698A" w:rsidRPr="00AF5ACF" w:rsidRDefault="00AF698A" w:rsidP="00AF698A">
      <w:pPr>
        <w:pStyle w:val="Default"/>
        <w:rPr>
          <w:color w:val="auto"/>
        </w:rPr>
      </w:pPr>
      <w:bookmarkStart w:id="0" w:name="_Hlk89174398"/>
      <w:r w:rsidRPr="00AF5ACF">
        <w:rPr>
          <w:rFonts w:ascii="Century Gothic" w:hAnsi="Century Gothic"/>
          <w:b/>
          <w:bCs/>
          <w:color w:val="auto"/>
        </w:rPr>
        <w:t xml:space="preserve">Status: </w:t>
      </w:r>
      <w:r w:rsidRPr="00AF5ACF">
        <w:rPr>
          <w:rFonts w:ascii="Century Gothic" w:hAnsi="Century Gothic"/>
          <w:color w:val="auto"/>
        </w:rPr>
        <w:t>The Committee has not begun deliberation on this item</w:t>
      </w:r>
      <w:bookmarkEnd w:id="0"/>
      <w:r w:rsidR="002D23D0">
        <w:rPr>
          <w:rFonts w:ascii="Century Gothic" w:hAnsi="Century Gothic"/>
          <w:color w:val="auto"/>
        </w:rPr>
        <w:t>.</w:t>
      </w:r>
    </w:p>
    <w:p w14:paraId="3BB0F79F" w14:textId="6461AC4B" w:rsidR="00355D30" w:rsidRDefault="00355D30" w:rsidP="0021169F">
      <w:pPr>
        <w:pStyle w:val="BodyText"/>
      </w:pPr>
    </w:p>
    <w:p w14:paraId="575D96FB" w14:textId="77777777" w:rsidR="002426FE" w:rsidRPr="00BD03EB" w:rsidRDefault="002426FE" w:rsidP="002426FE">
      <w:pPr>
        <w:rPr>
          <w:sz w:val="24"/>
          <w:szCs w:val="24"/>
        </w:rPr>
      </w:pPr>
      <w:r w:rsidRPr="00B03EE4">
        <w:rPr>
          <w:b/>
          <w:bCs/>
        </w:rPr>
        <w:t>THESE ITEMS WERE FLAGGED FOR EITHER PRIORITY THREE OR REMOVAL, DEPENDENT ON REVIEW OF THE COMMENT LETTERS</w:t>
      </w:r>
    </w:p>
    <w:p w14:paraId="27267918" w14:textId="5F9F6959" w:rsidR="00ED62B9" w:rsidRPr="0002690E" w:rsidRDefault="00ED62B9" w:rsidP="00641317">
      <w:pPr>
        <w:pStyle w:val="Heading4"/>
      </w:pPr>
      <w:r w:rsidRPr="00ED62B9">
        <w:t xml:space="preserve">Oak </w:t>
      </w:r>
      <w:r w:rsidRPr="0002690E">
        <w:t xml:space="preserve">Retention </w:t>
      </w:r>
      <w:r w:rsidR="00EE5E8E" w:rsidRPr="0002690E">
        <w:t>Considerations</w:t>
      </w:r>
      <w:r w:rsidR="009001D8" w:rsidRPr="0002690E">
        <w:t xml:space="preserve"> </w:t>
      </w:r>
    </w:p>
    <w:p w14:paraId="0B8BB7FB" w14:textId="7B9333BD" w:rsidR="00ED62B9" w:rsidRPr="0002690E" w:rsidRDefault="00ED62B9" w:rsidP="0021169F">
      <w:pPr>
        <w:pStyle w:val="BodyText"/>
      </w:pPr>
      <w:r w:rsidRPr="0030516E">
        <w:rPr>
          <w:b/>
          <w:bCs/>
        </w:rPr>
        <w:t>Objective</w:t>
      </w:r>
      <w:r w:rsidRPr="0002690E">
        <w:t xml:space="preserve">: </w:t>
      </w:r>
      <w:r w:rsidR="0030516E" w:rsidRPr="0030516E">
        <w:t>Undergo review and assessment of the Board of Forestry and Fire Protection and Fish and Game Commission’s Joint Policy on Hardwoods, last reviewed in 2006. Consider review of existing hardwood retention guidelines for efficacy and utility in providing protections.</w:t>
      </w:r>
    </w:p>
    <w:p w14:paraId="572FAB8D" w14:textId="5A2BC437" w:rsidR="00355D30" w:rsidRPr="0002690E" w:rsidRDefault="00ED62B9" w:rsidP="0021169F">
      <w:pPr>
        <w:pStyle w:val="BodyText"/>
      </w:pPr>
      <w:r w:rsidRPr="0002690E">
        <w:rPr>
          <w:b/>
          <w:bCs/>
        </w:rPr>
        <w:t>Status</w:t>
      </w:r>
      <w:r w:rsidRPr="0002690E">
        <w:t xml:space="preserve">: </w:t>
      </w:r>
      <w:r w:rsidR="006520B8" w:rsidRPr="0002690E">
        <w:t>No reportable actions were made on this topic in 2022.</w:t>
      </w:r>
    </w:p>
    <w:p w14:paraId="3D24A02C" w14:textId="77777777" w:rsidR="00355D30" w:rsidRPr="0002690E" w:rsidRDefault="00355D30" w:rsidP="0021169F">
      <w:pPr>
        <w:pStyle w:val="BodyText"/>
      </w:pPr>
    </w:p>
    <w:p w14:paraId="0A59BA73" w14:textId="0B251A64" w:rsidR="009261F1" w:rsidRPr="0030516E" w:rsidRDefault="009261F1" w:rsidP="009261F1">
      <w:pPr>
        <w:rPr>
          <w:rFonts w:ascii="Century Gothic" w:hAnsi="Century Gothic"/>
          <w:b/>
          <w:bCs/>
          <w:sz w:val="24"/>
          <w:szCs w:val="24"/>
        </w:rPr>
      </w:pPr>
      <w:r w:rsidRPr="0030516E">
        <w:rPr>
          <w:rFonts w:ascii="Century Gothic" w:hAnsi="Century Gothic"/>
          <w:b/>
          <w:bCs/>
          <w:sz w:val="24"/>
          <w:szCs w:val="24"/>
        </w:rPr>
        <w:t xml:space="preserve">Review of Stocking Reporting </w:t>
      </w:r>
      <w:r w:rsidR="00B87819" w:rsidRPr="0030516E">
        <w:rPr>
          <w:rFonts w:ascii="Century Gothic" w:hAnsi="Century Gothic"/>
          <w:b/>
          <w:bCs/>
          <w:sz w:val="24"/>
          <w:szCs w:val="24"/>
        </w:rPr>
        <w:t xml:space="preserve">and </w:t>
      </w:r>
      <w:r w:rsidRPr="0030516E">
        <w:rPr>
          <w:rFonts w:ascii="Century Gothic" w:hAnsi="Century Gothic"/>
          <w:b/>
          <w:bCs/>
          <w:sz w:val="24"/>
          <w:szCs w:val="24"/>
        </w:rPr>
        <w:t xml:space="preserve">Procedure </w:t>
      </w:r>
    </w:p>
    <w:p w14:paraId="2F527484" w14:textId="77777777" w:rsidR="009261F1" w:rsidRPr="0030516E" w:rsidRDefault="009261F1" w:rsidP="009261F1">
      <w:pPr>
        <w:rPr>
          <w:rFonts w:ascii="Century Gothic" w:hAnsi="Century Gothic"/>
          <w:sz w:val="24"/>
          <w:szCs w:val="24"/>
        </w:rPr>
      </w:pPr>
      <w:r w:rsidRPr="0030516E">
        <w:rPr>
          <w:rFonts w:ascii="Century Gothic" w:hAnsi="Century Gothic"/>
          <w:b/>
          <w:bCs/>
          <w:sz w:val="24"/>
          <w:szCs w:val="24"/>
        </w:rPr>
        <w:t>Objective:</w:t>
      </w:r>
      <w:r w:rsidRPr="0030516E">
        <w:rPr>
          <w:rFonts w:ascii="Century Gothic" w:hAnsi="Century Gothic"/>
          <w:sz w:val="24"/>
          <w:szCs w:val="24"/>
        </w:rPr>
        <w:t xml:space="preserve"> Evaluate current stocking sampling regulations regarding their application within very small, or partially harvested, logging areas.</w:t>
      </w:r>
    </w:p>
    <w:p w14:paraId="094CC246" w14:textId="77777777" w:rsidR="009261F1" w:rsidRPr="0030516E" w:rsidRDefault="009261F1" w:rsidP="009261F1">
      <w:pPr>
        <w:rPr>
          <w:rFonts w:ascii="Century Gothic" w:hAnsi="Century Gothic"/>
          <w:sz w:val="24"/>
          <w:szCs w:val="24"/>
        </w:rPr>
      </w:pPr>
      <w:r w:rsidRPr="0030516E">
        <w:rPr>
          <w:rFonts w:ascii="Century Gothic" w:hAnsi="Century Gothic"/>
          <w:sz w:val="24"/>
          <w:szCs w:val="24"/>
        </w:rPr>
        <w:t>Evaluate silvicultural requirements for restoration of areas not normally bearing commercial species provided that these areas are excluded from stocking requirements.</w:t>
      </w:r>
    </w:p>
    <w:p w14:paraId="14B7D68E" w14:textId="4CEC1843" w:rsidR="005C3209" w:rsidRPr="0002690E" w:rsidRDefault="009261F1" w:rsidP="0030516E">
      <w:r w:rsidRPr="0030516E">
        <w:rPr>
          <w:rFonts w:ascii="Century Gothic" w:hAnsi="Century Gothic"/>
          <w:b/>
          <w:bCs/>
          <w:sz w:val="24"/>
          <w:szCs w:val="24"/>
        </w:rPr>
        <w:t>Status</w:t>
      </w:r>
      <w:r w:rsidRPr="0030516E">
        <w:rPr>
          <w:rFonts w:ascii="Century Gothic" w:hAnsi="Century Gothic"/>
          <w:sz w:val="24"/>
          <w:szCs w:val="24"/>
        </w:rPr>
        <w:t>: The Committee has not begun deliberation on this item.</w:t>
      </w:r>
    </w:p>
    <w:p w14:paraId="2BC74C6A" w14:textId="77777777" w:rsidR="005C3209" w:rsidRPr="00355D30" w:rsidRDefault="005C3209" w:rsidP="0021169F">
      <w:pPr>
        <w:pStyle w:val="BodyText"/>
      </w:pPr>
    </w:p>
    <w:sectPr w:rsidR="005C3209" w:rsidRPr="00355D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A7D8" w14:textId="77777777" w:rsidR="00685FBC" w:rsidRDefault="00685FBC">
      <w:r>
        <w:separator/>
      </w:r>
    </w:p>
  </w:endnote>
  <w:endnote w:type="continuationSeparator" w:id="0">
    <w:p w14:paraId="2EAA04AE" w14:textId="77777777" w:rsidR="00685FBC" w:rsidRDefault="0068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122" w14:textId="310FA00B" w:rsidR="0071461C" w:rsidRDefault="0071461C">
    <w:pPr>
      <w:pStyle w:val="Footer"/>
    </w:pPr>
    <w:r>
      <w:tab/>
    </w:r>
    <w:r>
      <w:tab/>
      <w:t xml:space="preserve">MGMT </w:t>
    </w:r>
    <w:r w:rsidR="001004E1">
      <w:t>5</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45C9" w14:textId="77777777" w:rsidR="00685FBC" w:rsidRDefault="00685FBC">
      <w:r>
        <w:separator/>
      </w:r>
    </w:p>
  </w:footnote>
  <w:footnote w:type="continuationSeparator" w:id="0">
    <w:p w14:paraId="63E672F3" w14:textId="77777777" w:rsidR="00685FBC" w:rsidRDefault="00685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33"/>
    <w:multiLevelType w:val="hybridMultilevel"/>
    <w:tmpl w:val="917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4E2"/>
    <w:multiLevelType w:val="hybridMultilevel"/>
    <w:tmpl w:val="55F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05BEE"/>
    <w:multiLevelType w:val="hybridMultilevel"/>
    <w:tmpl w:val="ED9AEDCC"/>
    <w:lvl w:ilvl="0" w:tplc="FB684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0329D"/>
    <w:multiLevelType w:val="hybridMultilevel"/>
    <w:tmpl w:val="A0D8017C"/>
    <w:lvl w:ilvl="0" w:tplc="6222192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417295">
    <w:abstractNumId w:val="0"/>
  </w:num>
  <w:num w:numId="2" w16cid:durableId="376782182">
    <w:abstractNumId w:val="2"/>
  </w:num>
  <w:num w:numId="3" w16cid:durableId="257834364">
    <w:abstractNumId w:val="1"/>
  </w:num>
  <w:num w:numId="4" w16cid:durableId="1846705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FlAi8oMfkLmQhun/6BNEfOOBIorNQ3cAP9n8LyifVXSNmRINSNHeJWwj/zpo40f76EJVxYjEqmDFQSmp/rklg==" w:salt="ANJAgxrBqwTCENhdT/0M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9"/>
    <w:rsid w:val="00006020"/>
    <w:rsid w:val="00007EF7"/>
    <w:rsid w:val="0002690E"/>
    <w:rsid w:val="000324BA"/>
    <w:rsid w:val="00054FA5"/>
    <w:rsid w:val="0005553F"/>
    <w:rsid w:val="0008123C"/>
    <w:rsid w:val="0008167C"/>
    <w:rsid w:val="000B4D26"/>
    <w:rsid w:val="000B7D69"/>
    <w:rsid w:val="000E126C"/>
    <w:rsid w:val="001004E1"/>
    <w:rsid w:val="00101ABF"/>
    <w:rsid w:val="001179AD"/>
    <w:rsid w:val="00125555"/>
    <w:rsid w:val="00133CE3"/>
    <w:rsid w:val="001369AB"/>
    <w:rsid w:val="001375B0"/>
    <w:rsid w:val="00165F57"/>
    <w:rsid w:val="00170559"/>
    <w:rsid w:val="00191A7B"/>
    <w:rsid w:val="001946E6"/>
    <w:rsid w:val="001B66B2"/>
    <w:rsid w:val="001C1E76"/>
    <w:rsid w:val="001E0E57"/>
    <w:rsid w:val="001E5CF3"/>
    <w:rsid w:val="001F44D2"/>
    <w:rsid w:val="001F498F"/>
    <w:rsid w:val="00202863"/>
    <w:rsid w:val="00204355"/>
    <w:rsid w:val="0021169F"/>
    <w:rsid w:val="00221E0A"/>
    <w:rsid w:val="002327F6"/>
    <w:rsid w:val="00236C1D"/>
    <w:rsid w:val="002426FE"/>
    <w:rsid w:val="00243154"/>
    <w:rsid w:val="00246347"/>
    <w:rsid w:val="00257AFB"/>
    <w:rsid w:val="00260185"/>
    <w:rsid w:val="00263C44"/>
    <w:rsid w:val="00272836"/>
    <w:rsid w:val="00274B46"/>
    <w:rsid w:val="00280CCB"/>
    <w:rsid w:val="002967D7"/>
    <w:rsid w:val="002B0579"/>
    <w:rsid w:val="002C2B33"/>
    <w:rsid w:val="002D23D0"/>
    <w:rsid w:val="002D6262"/>
    <w:rsid w:val="002E1610"/>
    <w:rsid w:val="002E79A3"/>
    <w:rsid w:val="002F1865"/>
    <w:rsid w:val="002F54F0"/>
    <w:rsid w:val="003039C8"/>
    <w:rsid w:val="0030516E"/>
    <w:rsid w:val="003137B7"/>
    <w:rsid w:val="00313E3E"/>
    <w:rsid w:val="00325F3C"/>
    <w:rsid w:val="003277F1"/>
    <w:rsid w:val="00333795"/>
    <w:rsid w:val="00341B0A"/>
    <w:rsid w:val="003475EE"/>
    <w:rsid w:val="003512F9"/>
    <w:rsid w:val="00352FC1"/>
    <w:rsid w:val="00355D30"/>
    <w:rsid w:val="00363811"/>
    <w:rsid w:val="003663BB"/>
    <w:rsid w:val="00372D18"/>
    <w:rsid w:val="0037494E"/>
    <w:rsid w:val="0038695C"/>
    <w:rsid w:val="003A4137"/>
    <w:rsid w:val="003B5002"/>
    <w:rsid w:val="003B7CF9"/>
    <w:rsid w:val="003C1A11"/>
    <w:rsid w:val="003C7DDE"/>
    <w:rsid w:val="003D57DB"/>
    <w:rsid w:val="003E0CA4"/>
    <w:rsid w:val="003E4494"/>
    <w:rsid w:val="003E629F"/>
    <w:rsid w:val="00406D53"/>
    <w:rsid w:val="00420AD0"/>
    <w:rsid w:val="00422FBF"/>
    <w:rsid w:val="00432177"/>
    <w:rsid w:val="00443C06"/>
    <w:rsid w:val="00455706"/>
    <w:rsid w:val="004637F5"/>
    <w:rsid w:val="004650E5"/>
    <w:rsid w:val="00492386"/>
    <w:rsid w:val="004934B0"/>
    <w:rsid w:val="0049519B"/>
    <w:rsid w:val="00495949"/>
    <w:rsid w:val="004B0C76"/>
    <w:rsid w:val="004B1F1A"/>
    <w:rsid w:val="004C59B2"/>
    <w:rsid w:val="004D3EBE"/>
    <w:rsid w:val="004E1D62"/>
    <w:rsid w:val="00534624"/>
    <w:rsid w:val="0053605C"/>
    <w:rsid w:val="00544E8E"/>
    <w:rsid w:val="005506A6"/>
    <w:rsid w:val="005555D4"/>
    <w:rsid w:val="00561671"/>
    <w:rsid w:val="005808A4"/>
    <w:rsid w:val="00582917"/>
    <w:rsid w:val="00587205"/>
    <w:rsid w:val="0059097C"/>
    <w:rsid w:val="00597B5D"/>
    <w:rsid w:val="005A16BD"/>
    <w:rsid w:val="005B035F"/>
    <w:rsid w:val="005B59AD"/>
    <w:rsid w:val="005C3209"/>
    <w:rsid w:val="005E2344"/>
    <w:rsid w:val="005E3BF4"/>
    <w:rsid w:val="005F329B"/>
    <w:rsid w:val="005F3765"/>
    <w:rsid w:val="005F3841"/>
    <w:rsid w:val="005F3FEE"/>
    <w:rsid w:val="005F79A9"/>
    <w:rsid w:val="00603A2E"/>
    <w:rsid w:val="00603C6E"/>
    <w:rsid w:val="00607B77"/>
    <w:rsid w:val="00617EAC"/>
    <w:rsid w:val="0063626B"/>
    <w:rsid w:val="00636C68"/>
    <w:rsid w:val="00641317"/>
    <w:rsid w:val="00641B08"/>
    <w:rsid w:val="006520B8"/>
    <w:rsid w:val="00654E1E"/>
    <w:rsid w:val="00656B21"/>
    <w:rsid w:val="00656D6D"/>
    <w:rsid w:val="0066393A"/>
    <w:rsid w:val="00676884"/>
    <w:rsid w:val="006777C7"/>
    <w:rsid w:val="006807C9"/>
    <w:rsid w:val="00683158"/>
    <w:rsid w:val="00685FBC"/>
    <w:rsid w:val="00691E20"/>
    <w:rsid w:val="00694272"/>
    <w:rsid w:val="00694540"/>
    <w:rsid w:val="006A6CB2"/>
    <w:rsid w:val="006A7C8F"/>
    <w:rsid w:val="006B4F73"/>
    <w:rsid w:val="006D3B64"/>
    <w:rsid w:val="006D6FB2"/>
    <w:rsid w:val="006F516F"/>
    <w:rsid w:val="006F64B1"/>
    <w:rsid w:val="007125D4"/>
    <w:rsid w:val="0071461C"/>
    <w:rsid w:val="0072335F"/>
    <w:rsid w:val="0073257D"/>
    <w:rsid w:val="00740E51"/>
    <w:rsid w:val="00752442"/>
    <w:rsid w:val="00762A75"/>
    <w:rsid w:val="007653A6"/>
    <w:rsid w:val="00766D85"/>
    <w:rsid w:val="0077554E"/>
    <w:rsid w:val="00776147"/>
    <w:rsid w:val="00783AF5"/>
    <w:rsid w:val="007840D3"/>
    <w:rsid w:val="00785FF6"/>
    <w:rsid w:val="0079348F"/>
    <w:rsid w:val="00795C53"/>
    <w:rsid w:val="007A33CA"/>
    <w:rsid w:val="007B2D3F"/>
    <w:rsid w:val="007B334A"/>
    <w:rsid w:val="007B7778"/>
    <w:rsid w:val="007C232B"/>
    <w:rsid w:val="007C71A5"/>
    <w:rsid w:val="007D1F6A"/>
    <w:rsid w:val="007E2824"/>
    <w:rsid w:val="007F1947"/>
    <w:rsid w:val="007F27EE"/>
    <w:rsid w:val="007F5DE9"/>
    <w:rsid w:val="0081666D"/>
    <w:rsid w:val="00823852"/>
    <w:rsid w:val="00831F25"/>
    <w:rsid w:val="00840073"/>
    <w:rsid w:val="008454B0"/>
    <w:rsid w:val="00845828"/>
    <w:rsid w:val="008628D5"/>
    <w:rsid w:val="00865342"/>
    <w:rsid w:val="00880A7D"/>
    <w:rsid w:val="0088564C"/>
    <w:rsid w:val="0089161F"/>
    <w:rsid w:val="00891B02"/>
    <w:rsid w:val="00896FAF"/>
    <w:rsid w:val="00897C38"/>
    <w:rsid w:val="008A0241"/>
    <w:rsid w:val="008A44D3"/>
    <w:rsid w:val="008B0AD4"/>
    <w:rsid w:val="008B1D1B"/>
    <w:rsid w:val="008B52D6"/>
    <w:rsid w:val="008C5748"/>
    <w:rsid w:val="008D3F9C"/>
    <w:rsid w:val="008D4912"/>
    <w:rsid w:val="008E69A6"/>
    <w:rsid w:val="008F34D2"/>
    <w:rsid w:val="008F3E79"/>
    <w:rsid w:val="009001D8"/>
    <w:rsid w:val="00900221"/>
    <w:rsid w:val="00910107"/>
    <w:rsid w:val="009261F1"/>
    <w:rsid w:val="00931001"/>
    <w:rsid w:val="009329FD"/>
    <w:rsid w:val="00933157"/>
    <w:rsid w:val="0093779A"/>
    <w:rsid w:val="0094238B"/>
    <w:rsid w:val="00944902"/>
    <w:rsid w:val="00944BE8"/>
    <w:rsid w:val="00953A43"/>
    <w:rsid w:val="0095714D"/>
    <w:rsid w:val="00973A47"/>
    <w:rsid w:val="00974F41"/>
    <w:rsid w:val="009A648E"/>
    <w:rsid w:val="009C1DDD"/>
    <w:rsid w:val="009C6D5F"/>
    <w:rsid w:val="009D0904"/>
    <w:rsid w:val="009D1ED3"/>
    <w:rsid w:val="009D72EC"/>
    <w:rsid w:val="00A10699"/>
    <w:rsid w:val="00A123A3"/>
    <w:rsid w:val="00A13327"/>
    <w:rsid w:val="00A13337"/>
    <w:rsid w:val="00A22D91"/>
    <w:rsid w:val="00A25CD6"/>
    <w:rsid w:val="00A31BCF"/>
    <w:rsid w:val="00A43791"/>
    <w:rsid w:val="00A43D01"/>
    <w:rsid w:val="00A66113"/>
    <w:rsid w:val="00A732EA"/>
    <w:rsid w:val="00A80593"/>
    <w:rsid w:val="00A81F70"/>
    <w:rsid w:val="00AB05C4"/>
    <w:rsid w:val="00AC71C7"/>
    <w:rsid w:val="00AC71DB"/>
    <w:rsid w:val="00AD0743"/>
    <w:rsid w:val="00AD2326"/>
    <w:rsid w:val="00AD7833"/>
    <w:rsid w:val="00AE3B39"/>
    <w:rsid w:val="00AE641E"/>
    <w:rsid w:val="00AF1CF4"/>
    <w:rsid w:val="00AF5ACF"/>
    <w:rsid w:val="00AF698A"/>
    <w:rsid w:val="00B06C7F"/>
    <w:rsid w:val="00B11F76"/>
    <w:rsid w:val="00B15B9C"/>
    <w:rsid w:val="00B179D0"/>
    <w:rsid w:val="00B232A1"/>
    <w:rsid w:val="00B2738A"/>
    <w:rsid w:val="00B307CD"/>
    <w:rsid w:val="00B36CF4"/>
    <w:rsid w:val="00B40178"/>
    <w:rsid w:val="00B4765B"/>
    <w:rsid w:val="00B51B03"/>
    <w:rsid w:val="00B57605"/>
    <w:rsid w:val="00B804D8"/>
    <w:rsid w:val="00B81900"/>
    <w:rsid w:val="00B837B8"/>
    <w:rsid w:val="00B83B0C"/>
    <w:rsid w:val="00B86EDF"/>
    <w:rsid w:val="00B87819"/>
    <w:rsid w:val="00B9600D"/>
    <w:rsid w:val="00BA583E"/>
    <w:rsid w:val="00BC0DC0"/>
    <w:rsid w:val="00BD1CD3"/>
    <w:rsid w:val="00BD4F05"/>
    <w:rsid w:val="00BD7526"/>
    <w:rsid w:val="00BF031D"/>
    <w:rsid w:val="00BF2545"/>
    <w:rsid w:val="00BF4D8C"/>
    <w:rsid w:val="00BF7AB5"/>
    <w:rsid w:val="00C010A2"/>
    <w:rsid w:val="00C20BC1"/>
    <w:rsid w:val="00C242B2"/>
    <w:rsid w:val="00C26907"/>
    <w:rsid w:val="00C27ABA"/>
    <w:rsid w:val="00C41641"/>
    <w:rsid w:val="00C53EDC"/>
    <w:rsid w:val="00C56C88"/>
    <w:rsid w:val="00C66E0A"/>
    <w:rsid w:val="00C7087A"/>
    <w:rsid w:val="00C7727B"/>
    <w:rsid w:val="00C77B9D"/>
    <w:rsid w:val="00C84E1C"/>
    <w:rsid w:val="00C85A55"/>
    <w:rsid w:val="00C946EE"/>
    <w:rsid w:val="00C94C95"/>
    <w:rsid w:val="00CC0098"/>
    <w:rsid w:val="00CD2939"/>
    <w:rsid w:val="00CD60A2"/>
    <w:rsid w:val="00CE21E9"/>
    <w:rsid w:val="00CF001F"/>
    <w:rsid w:val="00CF61C1"/>
    <w:rsid w:val="00D06408"/>
    <w:rsid w:val="00D07B5B"/>
    <w:rsid w:val="00D1530E"/>
    <w:rsid w:val="00D20B53"/>
    <w:rsid w:val="00D225C8"/>
    <w:rsid w:val="00D35BFF"/>
    <w:rsid w:val="00D4199E"/>
    <w:rsid w:val="00D60D0D"/>
    <w:rsid w:val="00D6355C"/>
    <w:rsid w:val="00D72968"/>
    <w:rsid w:val="00D73977"/>
    <w:rsid w:val="00D7705E"/>
    <w:rsid w:val="00D77A4D"/>
    <w:rsid w:val="00D8588E"/>
    <w:rsid w:val="00D95C37"/>
    <w:rsid w:val="00DA03D1"/>
    <w:rsid w:val="00DA0930"/>
    <w:rsid w:val="00DC1371"/>
    <w:rsid w:val="00DC2E7E"/>
    <w:rsid w:val="00DC51B8"/>
    <w:rsid w:val="00DD6B67"/>
    <w:rsid w:val="00DE54E9"/>
    <w:rsid w:val="00DF0368"/>
    <w:rsid w:val="00DF1340"/>
    <w:rsid w:val="00E0059E"/>
    <w:rsid w:val="00E11255"/>
    <w:rsid w:val="00E139D9"/>
    <w:rsid w:val="00E25AC6"/>
    <w:rsid w:val="00E3280E"/>
    <w:rsid w:val="00E354FE"/>
    <w:rsid w:val="00E47D60"/>
    <w:rsid w:val="00E5664A"/>
    <w:rsid w:val="00E62E61"/>
    <w:rsid w:val="00E67A05"/>
    <w:rsid w:val="00E77F91"/>
    <w:rsid w:val="00E8148C"/>
    <w:rsid w:val="00EA0660"/>
    <w:rsid w:val="00EA3060"/>
    <w:rsid w:val="00EB0F66"/>
    <w:rsid w:val="00EC43F1"/>
    <w:rsid w:val="00EC747E"/>
    <w:rsid w:val="00ED05F1"/>
    <w:rsid w:val="00ED62B9"/>
    <w:rsid w:val="00EE2C34"/>
    <w:rsid w:val="00EE5E8E"/>
    <w:rsid w:val="00EE643F"/>
    <w:rsid w:val="00EF2E53"/>
    <w:rsid w:val="00F07E18"/>
    <w:rsid w:val="00F10F18"/>
    <w:rsid w:val="00F14E73"/>
    <w:rsid w:val="00F16617"/>
    <w:rsid w:val="00F20853"/>
    <w:rsid w:val="00F26372"/>
    <w:rsid w:val="00F33B49"/>
    <w:rsid w:val="00F347EE"/>
    <w:rsid w:val="00F50CDC"/>
    <w:rsid w:val="00F54108"/>
    <w:rsid w:val="00F57293"/>
    <w:rsid w:val="00F57EA5"/>
    <w:rsid w:val="00F717C1"/>
    <w:rsid w:val="00F7273F"/>
    <w:rsid w:val="00F84940"/>
    <w:rsid w:val="00F90577"/>
    <w:rsid w:val="00F92625"/>
    <w:rsid w:val="00FB1D3F"/>
    <w:rsid w:val="00FB4881"/>
    <w:rsid w:val="00FD24FB"/>
    <w:rsid w:val="00FD34CD"/>
    <w:rsid w:val="00FF0C4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7098"/>
  <w15:chartTrackingRefBased/>
  <w15:docId w15:val="{9D29464C-619D-4EF1-8220-FAB9950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B49"/>
    <w:pPr>
      <w:widowControl w:val="0"/>
      <w:spacing w:after="0" w:line="240" w:lineRule="auto"/>
    </w:pPr>
  </w:style>
  <w:style w:type="paragraph" w:styleId="Heading2">
    <w:name w:val="heading 2"/>
    <w:basedOn w:val="Normal"/>
    <w:link w:val="Heading2Char"/>
    <w:uiPriority w:val="1"/>
    <w:qFormat/>
    <w:rsid w:val="00F33B49"/>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qFormat/>
    <w:rsid w:val="00C85A55"/>
    <w:pPr>
      <w:keepNext/>
      <w:spacing w:after="120"/>
      <w:ind w:left="720" w:hanging="720"/>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qFormat/>
    <w:rsid w:val="00641317"/>
    <w:pPr>
      <w:outlineLvl w:val="3"/>
    </w:pPr>
    <w:rPr>
      <w:rFonts w:ascii="Century Gothic" w:eastAsia="Arial" w:hAnsi="Century Gothic"/>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3B49"/>
    <w:rPr>
      <w:rFonts w:ascii="Arial" w:eastAsia="Arial" w:hAnsi="Arial"/>
      <w:b/>
      <w:bCs/>
      <w:i/>
      <w:sz w:val="28"/>
      <w:szCs w:val="28"/>
    </w:rPr>
  </w:style>
  <w:style w:type="character" w:customStyle="1" w:styleId="Heading3Char">
    <w:name w:val="Heading 3 Char"/>
    <w:basedOn w:val="DefaultParagraphFont"/>
    <w:link w:val="Heading3"/>
    <w:uiPriority w:val="1"/>
    <w:rsid w:val="00C85A55"/>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rsid w:val="00641317"/>
    <w:rPr>
      <w:rFonts w:ascii="Century Gothic" w:eastAsia="Arial" w:hAnsi="Century Gothic"/>
      <w:b/>
      <w:iCs/>
      <w:sz w:val="24"/>
      <w:szCs w:val="24"/>
    </w:rPr>
  </w:style>
  <w:style w:type="paragraph" w:styleId="BodyText">
    <w:name w:val="Body Text"/>
    <w:basedOn w:val="Normal"/>
    <w:link w:val="BodyTextChar"/>
    <w:autoRedefine/>
    <w:uiPriority w:val="1"/>
    <w:qFormat/>
    <w:rsid w:val="0021169F"/>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21169F"/>
    <w:rPr>
      <w:rFonts w:ascii="Century Gothic" w:eastAsia="Calibri" w:hAnsi="Century Gothic" w:cs="Arial"/>
      <w:spacing w:val="-2"/>
      <w:sz w:val="24"/>
      <w:szCs w:val="24"/>
    </w:rPr>
  </w:style>
  <w:style w:type="character" w:styleId="CommentReference">
    <w:name w:val="annotation reference"/>
    <w:basedOn w:val="DefaultParagraphFont"/>
    <w:uiPriority w:val="99"/>
    <w:semiHidden/>
    <w:unhideWhenUsed/>
    <w:rsid w:val="00F92625"/>
    <w:rPr>
      <w:sz w:val="16"/>
      <w:szCs w:val="16"/>
    </w:rPr>
  </w:style>
  <w:style w:type="paragraph" w:styleId="CommentText">
    <w:name w:val="annotation text"/>
    <w:basedOn w:val="Normal"/>
    <w:link w:val="CommentTextChar"/>
    <w:uiPriority w:val="99"/>
    <w:unhideWhenUsed/>
    <w:rsid w:val="00F92625"/>
    <w:rPr>
      <w:sz w:val="20"/>
      <w:szCs w:val="20"/>
    </w:rPr>
  </w:style>
  <w:style w:type="character" w:customStyle="1" w:styleId="CommentTextChar">
    <w:name w:val="Comment Text Char"/>
    <w:basedOn w:val="DefaultParagraphFont"/>
    <w:link w:val="CommentText"/>
    <w:uiPriority w:val="99"/>
    <w:rsid w:val="00F92625"/>
    <w:rPr>
      <w:sz w:val="20"/>
      <w:szCs w:val="20"/>
    </w:rPr>
  </w:style>
  <w:style w:type="paragraph" w:styleId="CommentSubject">
    <w:name w:val="annotation subject"/>
    <w:basedOn w:val="CommentText"/>
    <w:next w:val="CommentText"/>
    <w:link w:val="CommentSubjectChar"/>
    <w:uiPriority w:val="99"/>
    <w:semiHidden/>
    <w:unhideWhenUsed/>
    <w:rsid w:val="00F92625"/>
    <w:rPr>
      <w:b/>
      <w:bCs/>
    </w:rPr>
  </w:style>
  <w:style w:type="character" w:customStyle="1" w:styleId="CommentSubjectChar">
    <w:name w:val="Comment Subject Char"/>
    <w:basedOn w:val="CommentTextChar"/>
    <w:link w:val="CommentSubject"/>
    <w:uiPriority w:val="99"/>
    <w:semiHidden/>
    <w:rsid w:val="00F92625"/>
    <w:rPr>
      <w:b/>
      <w:bCs/>
      <w:sz w:val="20"/>
      <w:szCs w:val="20"/>
    </w:rPr>
  </w:style>
  <w:style w:type="paragraph" w:customStyle="1" w:styleId="Default">
    <w:name w:val="Default"/>
    <w:rsid w:val="00C53E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07C9"/>
    <w:pPr>
      <w:spacing w:after="0" w:line="240" w:lineRule="auto"/>
    </w:pPr>
  </w:style>
  <w:style w:type="paragraph" w:styleId="Header">
    <w:name w:val="header"/>
    <w:basedOn w:val="Normal"/>
    <w:link w:val="HeaderChar"/>
    <w:uiPriority w:val="99"/>
    <w:unhideWhenUsed/>
    <w:rsid w:val="0071461C"/>
    <w:pPr>
      <w:tabs>
        <w:tab w:val="center" w:pos="4680"/>
        <w:tab w:val="right" w:pos="9360"/>
      </w:tabs>
    </w:pPr>
  </w:style>
  <w:style w:type="character" w:customStyle="1" w:styleId="HeaderChar">
    <w:name w:val="Header Char"/>
    <w:basedOn w:val="DefaultParagraphFont"/>
    <w:link w:val="Header"/>
    <w:uiPriority w:val="99"/>
    <w:rsid w:val="0071461C"/>
  </w:style>
  <w:style w:type="paragraph" w:styleId="Footer">
    <w:name w:val="footer"/>
    <w:basedOn w:val="Normal"/>
    <w:link w:val="FooterChar"/>
    <w:uiPriority w:val="99"/>
    <w:unhideWhenUsed/>
    <w:rsid w:val="0071461C"/>
    <w:pPr>
      <w:tabs>
        <w:tab w:val="center" w:pos="4680"/>
        <w:tab w:val="right" w:pos="9360"/>
      </w:tabs>
    </w:pPr>
  </w:style>
  <w:style w:type="character" w:customStyle="1" w:styleId="FooterChar">
    <w:name w:val="Footer Char"/>
    <w:basedOn w:val="DefaultParagraphFont"/>
    <w:link w:val="Footer"/>
    <w:uiPriority w:val="99"/>
    <w:rsid w:val="0071461C"/>
  </w:style>
  <w:style w:type="paragraph" w:customStyle="1" w:styleId="xmsobodytext">
    <w:name w:val="x_msobodytext"/>
    <w:basedOn w:val="Normal"/>
    <w:rsid w:val="00CF61C1"/>
    <w:pPr>
      <w:widowControl/>
    </w:pPr>
    <w:rPr>
      <w:rFonts w:ascii="Century Gothic" w:hAnsi="Century Gothic" w:cs="Calibri"/>
      <w:spacing w:val="-2"/>
      <w:sz w:val="24"/>
      <w:szCs w:val="24"/>
    </w:rPr>
  </w:style>
  <w:style w:type="paragraph" w:styleId="NoSpacing">
    <w:name w:val="No Spacing"/>
    <w:uiPriority w:val="1"/>
    <w:qFormat/>
    <w:rsid w:val="0064131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878">
      <w:bodyDiv w:val="1"/>
      <w:marLeft w:val="0"/>
      <w:marRight w:val="0"/>
      <w:marTop w:val="0"/>
      <w:marBottom w:val="0"/>
      <w:divBdr>
        <w:top w:val="none" w:sz="0" w:space="0" w:color="auto"/>
        <w:left w:val="none" w:sz="0" w:space="0" w:color="auto"/>
        <w:bottom w:val="none" w:sz="0" w:space="0" w:color="auto"/>
        <w:right w:val="none" w:sz="0" w:space="0" w:color="auto"/>
      </w:divBdr>
    </w:div>
    <w:div w:id="686755460">
      <w:bodyDiv w:val="1"/>
      <w:marLeft w:val="0"/>
      <w:marRight w:val="0"/>
      <w:marTop w:val="0"/>
      <w:marBottom w:val="0"/>
      <w:divBdr>
        <w:top w:val="none" w:sz="0" w:space="0" w:color="auto"/>
        <w:left w:val="none" w:sz="0" w:space="0" w:color="auto"/>
        <w:bottom w:val="none" w:sz="0" w:space="0" w:color="auto"/>
        <w:right w:val="none" w:sz="0" w:space="0" w:color="auto"/>
      </w:divBdr>
    </w:div>
    <w:div w:id="12889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C992-DDE4-4F33-B586-64C231F7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15814</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2023-01-12T16:39:00Z</dcterms:created>
  <dcterms:modified xsi:type="dcterms:W3CDTF">2023-01-12T16:50:00Z</dcterms:modified>
</cp:coreProperties>
</file>