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9C00" w14:textId="77777777" w:rsidR="00FA71F9" w:rsidRPr="00762DFE" w:rsidRDefault="00FA71F9" w:rsidP="00762DFE">
      <w:pPr>
        <w:ind w:left="-360"/>
        <w:rPr>
          <w:b/>
          <w:sz w:val="18"/>
          <w:szCs w:val="18"/>
        </w:rPr>
      </w:pPr>
      <w:r w:rsidRPr="00762DFE">
        <w:rPr>
          <w:b/>
          <w:sz w:val="18"/>
          <w:szCs w:val="18"/>
        </w:rPr>
        <w:t>State of Cal</w:t>
      </w:r>
      <w:r w:rsidR="00762DFE">
        <w:rPr>
          <w:b/>
          <w:sz w:val="18"/>
          <w:szCs w:val="18"/>
        </w:rPr>
        <w:t>ifornia</w:t>
      </w:r>
      <w:r w:rsidR="00762DFE">
        <w:rPr>
          <w:b/>
          <w:sz w:val="18"/>
          <w:szCs w:val="18"/>
        </w:rPr>
        <w:tab/>
      </w:r>
      <w:r w:rsidR="00762DFE">
        <w:rPr>
          <w:b/>
          <w:sz w:val="18"/>
          <w:szCs w:val="18"/>
        </w:rPr>
        <w:tab/>
      </w:r>
      <w:r w:rsidR="00762DFE">
        <w:rPr>
          <w:b/>
          <w:sz w:val="18"/>
          <w:szCs w:val="18"/>
        </w:rPr>
        <w:tab/>
      </w:r>
      <w:r w:rsidR="00762DFE">
        <w:rPr>
          <w:b/>
          <w:sz w:val="18"/>
          <w:szCs w:val="18"/>
        </w:rPr>
        <w:tab/>
      </w:r>
      <w:r w:rsidR="00762DFE">
        <w:rPr>
          <w:b/>
          <w:sz w:val="18"/>
          <w:szCs w:val="18"/>
        </w:rPr>
        <w:tab/>
      </w:r>
      <w:r w:rsidR="00762DFE">
        <w:rPr>
          <w:b/>
          <w:sz w:val="18"/>
          <w:szCs w:val="18"/>
        </w:rPr>
        <w:tab/>
      </w:r>
      <w:r w:rsidR="00762DFE">
        <w:rPr>
          <w:b/>
          <w:sz w:val="18"/>
          <w:szCs w:val="18"/>
        </w:rPr>
        <w:tab/>
      </w:r>
      <w:r w:rsidR="00762DFE">
        <w:rPr>
          <w:b/>
          <w:sz w:val="18"/>
          <w:szCs w:val="18"/>
        </w:rPr>
        <w:tab/>
        <w:t xml:space="preserve">           </w:t>
      </w:r>
      <w:r w:rsidR="001D74B9" w:rsidRPr="00762DFE">
        <w:rPr>
          <w:b/>
          <w:sz w:val="18"/>
          <w:szCs w:val="18"/>
        </w:rPr>
        <w:t>Natural</w:t>
      </w:r>
      <w:r w:rsidRPr="00762DFE">
        <w:rPr>
          <w:b/>
          <w:sz w:val="18"/>
          <w:szCs w:val="18"/>
        </w:rPr>
        <w:t xml:space="preserve"> Resources Agency</w:t>
      </w:r>
    </w:p>
    <w:p w14:paraId="603594D3" w14:textId="77777777" w:rsidR="00FA71F9" w:rsidRDefault="00FA71F9" w:rsidP="00F57E7D">
      <w:pPr>
        <w:ind w:left="-360"/>
      </w:pPr>
    </w:p>
    <w:p w14:paraId="029B40FE" w14:textId="77777777" w:rsidR="00FA71F9" w:rsidRDefault="00FA71F9" w:rsidP="00F57E7D">
      <w:pPr>
        <w:ind w:left="-360"/>
        <w:rPr>
          <w:spacing w:val="100"/>
          <w:sz w:val="36"/>
        </w:rPr>
      </w:pPr>
      <w:r>
        <w:rPr>
          <w:b/>
          <w:spacing w:val="100"/>
          <w:sz w:val="36"/>
        </w:rPr>
        <w:t>Memorandum</w:t>
      </w:r>
    </w:p>
    <w:p w14:paraId="1918F7B0" w14:textId="77777777" w:rsidR="00FA71F9" w:rsidRDefault="00FA71F9" w:rsidP="00F57E7D">
      <w:pPr>
        <w:ind w:left="-360"/>
        <w:rPr>
          <w:spacing w:val="120"/>
        </w:rPr>
      </w:pPr>
    </w:p>
    <w:p w14:paraId="6DE2E33E" w14:textId="77777777" w:rsidR="00FA71F9" w:rsidRDefault="00FA71F9" w:rsidP="00F57E7D">
      <w:pPr>
        <w:ind w:left="90"/>
        <w:rPr>
          <w:spacing w:val="120"/>
        </w:rPr>
      </w:pPr>
    </w:p>
    <w:tbl>
      <w:tblPr>
        <w:tblW w:w="9990" w:type="dxa"/>
        <w:tblInd w:w="-360" w:type="dxa"/>
        <w:tblLayout w:type="fixed"/>
        <w:tblCellMar>
          <w:left w:w="0" w:type="dxa"/>
          <w:right w:w="0" w:type="dxa"/>
        </w:tblCellMar>
        <w:tblLook w:val="0000" w:firstRow="0" w:lastRow="0" w:firstColumn="0" w:lastColumn="0" w:noHBand="0" w:noVBand="0"/>
      </w:tblPr>
      <w:tblGrid>
        <w:gridCol w:w="1080"/>
        <w:gridCol w:w="5490"/>
        <w:gridCol w:w="3420"/>
      </w:tblGrid>
      <w:tr w:rsidR="00FA71F9" w14:paraId="7274E07F" w14:textId="77777777" w:rsidTr="009044E4">
        <w:trPr>
          <w:cantSplit/>
          <w:trHeight w:hRule="exact" w:val="2043"/>
        </w:trPr>
        <w:tc>
          <w:tcPr>
            <w:tcW w:w="1080" w:type="dxa"/>
            <w:vAlign w:val="center"/>
          </w:tcPr>
          <w:p w14:paraId="3434BD3B" w14:textId="77777777" w:rsidR="00FA71F9" w:rsidRPr="00C0394B" w:rsidRDefault="00FA71F9" w:rsidP="00E866BD">
            <w:pPr>
              <w:ind w:left="90" w:right="80"/>
              <w:jc w:val="right"/>
              <w:rPr>
                <w:sz w:val="20"/>
              </w:rPr>
            </w:pPr>
            <w:r w:rsidRPr="00C0394B">
              <w:rPr>
                <w:b/>
                <w:sz w:val="20"/>
              </w:rPr>
              <w:t>To:</w:t>
            </w:r>
          </w:p>
          <w:p w14:paraId="664C5613" w14:textId="77777777" w:rsidR="00FA71F9" w:rsidRDefault="00FA71F9" w:rsidP="00E866BD">
            <w:pPr>
              <w:ind w:left="90" w:right="80"/>
              <w:jc w:val="right"/>
            </w:pPr>
            <w:r>
              <w:t xml:space="preserve">                                                                                                                            </w:t>
            </w:r>
          </w:p>
          <w:p w14:paraId="198F0859" w14:textId="77777777" w:rsidR="00FA71F9" w:rsidRDefault="00FA71F9" w:rsidP="00E866BD">
            <w:pPr>
              <w:ind w:left="90" w:right="80"/>
              <w:jc w:val="right"/>
            </w:pPr>
            <w:r>
              <w:t xml:space="preserve">                                                                                                                            </w:t>
            </w:r>
          </w:p>
          <w:p w14:paraId="1F3FF1F6" w14:textId="77777777" w:rsidR="00FA71F9" w:rsidRDefault="00FA71F9" w:rsidP="00E866BD">
            <w:pPr>
              <w:ind w:left="90" w:right="80"/>
              <w:jc w:val="right"/>
            </w:pPr>
            <w:r>
              <w:t xml:space="preserve">                                                                                                                             </w:t>
            </w:r>
          </w:p>
          <w:p w14:paraId="7332239C" w14:textId="77777777" w:rsidR="00FA71F9" w:rsidRDefault="00FA71F9" w:rsidP="00E866BD">
            <w:pPr>
              <w:ind w:left="90" w:right="80"/>
              <w:jc w:val="right"/>
            </w:pPr>
            <w:r>
              <w:t xml:space="preserve">                                                                                                                            </w:t>
            </w:r>
          </w:p>
          <w:p w14:paraId="658D0F2E" w14:textId="77777777" w:rsidR="00FA71F9" w:rsidRDefault="00FA71F9" w:rsidP="00E866BD">
            <w:pPr>
              <w:ind w:left="90" w:right="80"/>
              <w:jc w:val="right"/>
            </w:pPr>
            <w:r>
              <w:t xml:space="preserve">                                                                                                                            </w:t>
            </w:r>
          </w:p>
          <w:p w14:paraId="6F8C4D1F" w14:textId="77777777" w:rsidR="00FA71F9" w:rsidRDefault="00FA71F9" w:rsidP="00E866BD">
            <w:pPr>
              <w:ind w:left="90" w:right="80"/>
              <w:jc w:val="right"/>
            </w:pPr>
            <w:r>
              <w:t xml:space="preserve">                                                                                                                            </w:t>
            </w:r>
          </w:p>
          <w:p w14:paraId="7477904D" w14:textId="77777777" w:rsidR="00FA71F9" w:rsidRDefault="00FA71F9" w:rsidP="00E866BD">
            <w:pPr>
              <w:ind w:left="90" w:right="80"/>
              <w:jc w:val="right"/>
            </w:pPr>
            <w:r>
              <w:t xml:space="preserve">                                                                                                                                                                                                                                                     </w:t>
            </w:r>
          </w:p>
          <w:p w14:paraId="29E7C57F" w14:textId="77777777" w:rsidR="00FA71F9" w:rsidRDefault="00FA71F9" w:rsidP="00E866BD">
            <w:pPr>
              <w:ind w:left="90" w:right="80"/>
              <w:jc w:val="right"/>
            </w:pPr>
          </w:p>
          <w:p w14:paraId="3B9065CA" w14:textId="77777777" w:rsidR="00FA71F9" w:rsidRDefault="00FA71F9" w:rsidP="00E866BD">
            <w:pPr>
              <w:ind w:left="90" w:right="80"/>
              <w:jc w:val="right"/>
            </w:pPr>
          </w:p>
          <w:p w14:paraId="2D9DC941" w14:textId="77777777" w:rsidR="00FA71F9" w:rsidRDefault="00FA71F9" w:rsidP="00E866BD">
            <w:pPr>
              <w:ind w:left="90" w:right="80"/>
              <w:jc w:val="right"/>
            </w:pPr>
          </w:p>
          <w:p w14:paraId="193E9869" w14:textId="77777777" w:rsidR="00FA71F9" w:rsidRDefault="00FA71F9" w:rsidP="00E866BD">
            <w:pPr>
              <w:ind w:left="90" w:right="80"/>
              <w:jc w:val="right"/>
            </w:pPr>
          </w:p>
          <w:p w14:paraId="1169A6CD" w14:textId="77777777" w:rsidR="00FA71F9" w:rsidRDefault="00FA71F9" w:rsidP="00E866BD">
            <w:pPr>
              <w:ind w:left="90" w:right="80"/>
              <w:jc w:val="right"/>
            </w:pPr>
            <w:r>
              <w:t xml:space="preserve">                                                                                 </w:t>
            </w:r>
          </w:p>
        </w:tc>
        <w:tc>
          <w:tcPr>
            <w:tcW w:w="5490" w:type="dxa"/>
          </w:tcPr>
          <w:p w14:paraId="1D30B1DC" w14:textId="0DE2B647" w:rsidR="00FA71F9" w:rsidRDefault="002E3730" w:rsidP="009044E4">
            <w:pPr>
              <w:ind w:left="270"/>
            </w:pPr>
            <w:bookmarkStart w:id="0" w:name="Recipient"/>
            <w:bookmarkEnd w:id="0"/>
            <w:r w:rsidRPr="002E3730">
              <w:rPr>
                <w:color w:val="000000" w:themeColor="text1"/>
              </w:rPr>
              <w:t>Dan Stapleton</w:t>
            </w:r>
            <w:r>
              <w:rPr>
                <w:color w:val="000000" w:themeColor="text1"/>
              </w:rPr>
              <w:t xml:space="preserve">, Executive Officer (acting) </w:t>
            </w:r>
          </w:p>
        </w:tc>
        <w:tc>
          <w:tcPr>
            <w:tcW w:w="3420" w:type="dxa"/>
          </w:tcPr>
          <w:p w14:paraId="7023FEEA" w14:textId="25C66B66" w:rsidR="00FA71F9" w:rsidRPr="00397216" w:rsidRDefault="00FA71F9" w:rsidP="00E866BD">
            <w:pPr>
              <w:ind w:left="270"/>
              <w:rPr>
                <w:sz w:val="20"/>
              </w:rPr>
            </w:pPr>
            <w:r w:rsidRPr="00397216">
              <w:rPr>
                <w:b/>
                <w:sz w:val="20"/>
              </w:rPr>
              <w:t>Date</w:t>
            </w:r>
            <w:r w:rsidRPr="00397216">
              <w:rPr>
                <w:sz w:val="20"/>
              </w:rPr>
              <w:t xml:space="preserve">: </w:t>
            </w:r>
            <w:r w:rsidR="00771596" w:rsidRPr="00771596">
              <w:rPr>
                <w:bCs/>
                <w:color w:val="000000" w:themeColor="text1"/>
                <w:sz w:val="20"/>
              </w:rPr>
              <w:t>May 13</w:t>
            </w:r>
            <w:r w:rsidR="00397216" w:rsidRPr="00397216">
              <w:rPr>
                <w:bCs/>
                <w:sz w:val="20"/>
              </w:rPr>
              <w:t>, 202</w:t>
            </w:r>
            <w:r w:rsidR="00C1049B">
              <w:rPr>
                <w:bCs/>
                <w:sz w:val="20"/>
              </w:rPr>
              <w:t>5</w:t>
            </w:r>
            <w:r w:rsidRPr="00397216">
              <w:rPr>
                <w:sz w:val="20"/>
              </w:rPr>
              <w:t xml:space="preserve"> </w:t>
            </w:r>
          </w:p>
          <w:p w14:paraId="2FF7477A" w14:textId="77777777" w:rsidR="00762DFE" w:rsidRPr="00397216" w:rsidRDefault="00762DFE" w:rsidP="00E866BD">
            <w:pPr>
              <w:ind w:left="270"/>
              <w:rPr>
                <w:sz w:val="20"/>
              </w:rPr>
            </w:pPr>
          </w:p>
          <w:p w14:paraId="3C7DDF86" w14:textId="0B627FEF" w:rsidR="00FA71F9" w:rsidRPr="00397216" w:rsidRDefault="00FA71F9" w:rsidP="00E866BD">
            <w:pPr>
              <w:ind w:left="270"/>
              <w:rPr>
                <w:sz w:val="20"/>
              </w:rPr>
            </w:pPr>
            <w:r w:rsidRPr="00397216">
              <w:rPr>
                <w:b/>
                <w:sz w:val="20"/>
              </w:rPr>
              <w:t>Telephone:</w:t>
            </w:r>
            <w:r w:rsidRPr="00397216">
              <w:rPr>
                <w:sz w:val="20"/>
              </w:rPr>
              <w:t xml:space="preserve"> </w:t>
            </w:r>
            <w:bookmarkStart w:id="1" w:name="Phone"/>
            <w:bookmarkEnd w:id="1"/>
            <w:r w:rsidR="00397216">
              <w:rPr>
                <w:sz w:val="20"/>
              </w:rPr>
              <w:t>(</w:t>
            </w:r>
            <w:r w:rsidR="00C1049B">
              <w:rPr>
                <w:sz w:val="20"/>
              </w:rPr>
              <w:t>530</w:t>
            </w:r>
            <w:r w:rsidR="00397216">
              <w:rPr>
                <w:sz w:val="20"/>
              </w:rPr>
              <w:t xml:space="preserve">) </w:t>
            </w:r>
            <w:r w:rsidR="00C1049B">
              <w:rPr>
                <w:sz w:val="20"/>
              </w:rPr>
              <w:t>723-3651</w:t>
            </w:r>
          </w:p>
          <w:p w14:paraId="43F4E71B" w14:textId="77777777" w:rsidR="009044E4" w:rsidRPr="00397216" w:rsidRDefault="009044E4" w:rsidP="00E866BD">
            <w:pPr>
              <w:ind w:left="270"/>
              <w:rPr>
                <w:sz w:val="20"/>
              </w:rPr>
            </w:pPr>
          </w:p>
          <w:p w14:paraId="2552BEF7" w14:textId="77777777" w:rsidR="00FA71F9" w:rsidRPr="00397216" w:rsidRDefault="00FA71F9" w:rsidP="00E866BD">
            <w:pPr>
              <w:ind w:left="270"/>
              <w:rPr>
                <w:sz w:val="20"/>
              </w:rPr>
            </w:pPr>
            <w:r w:rsidRPr="00397216">
              <w:rPr>
                <w:b/>
                <w:sz w:val="20"/>
              </w:rPr>
              <w:t>Website</w:t>
            </w:r>
            <w:r w:rsidRPr="00397216">
              <w:rPr>
                <w:sz w:val="20"/>
              </w:rPr>
              <w:t>:</w:t>
            </w:r>
            <w:r w:rsidRPr="00397216">
              <w:rPr>
                <w:b/>
                <w:sz w:val="20"/>
              </w:rPr>
              <w:t xml:space="preserve"> </w:t>
            </w:r>
            <w:r w:rsidR="00E86266" w:rsidRPr="00397216">
              <w:rPr>
                <w:b/>
                <w:sz w:val="20"/>
              </w:rPr>
              <w:t xml:space="preserve"> </w:t>
            </w:r>
            <w:r w:rsidRPr="00397216">
              <w:rPr>
                <w:sz w:val="20"/>
              </w:rPr>
              <w:t>www.fire.ca.gov</w:t>
            </w:r>
          </w:p>
        </w:tc>
      </w:tr>
      <w:tr w:rsidR="00C0394B" w14:paraId="354BF28A" w14:textId="77777777" w:rsidTr="009044E4">
        <w:trPr>
          <w:trHeight w:val="810"/>
        </w:trPr>
        <w:tc>
          <w:tcPr>
            <w:tcW w:w="1080" w:type="dxa"/>
          </w:tcPr>
          <w:p w14:paraId="08D54F04" w14:textId="77777777" w:rsidR="00C0394B" w:rsidRPr="00C0394B" w:rsidRDefault="00C0394B" w:rsidP="00E866BD">
            <w:pPr>
              <w:ind w:left="90" w:right="80"/>
              <w:jc w:val="right"/>
              <w:rPr>
                <w:b/>
                <w:sz w:val="20"/>
              </w:rPr>
            </w:pPr>
            <w:r w:rsidRPr="00C0394B">
              <w:rPr>
                <w:b/>
                <w:sz w:val="20"/>
              </w:rPr>
              <w:t>From:</w:t>
            </w:r>
          </w:p>
        </w:tc>
        <w:tc>
          <w:tcPr>
            <w:tcW w:w="8910" w:type="dxa"/>
            <w:gridSpan w:val="2"/>
          </w:tcPr>
          <w:p w14:paraId="7A450F10" w14:textId="36667D21" w:rsidR="005762DD" w:rsidRDefault="00397216" w:rsidP="00E866BD">
            <w:pPr>
              <w:ind w:left="270"/>
              <w:rPr>
                <w:szCs w:val="24"/>
              </w:rPr>
            </w:pPr>
            <w:r>
              <w:rPr>
                <w:szCs w:val="24"/>
              </w:rPr>
              <w:t>Stewart McMorrow, Staff Chief, Wildfire Resilience</w:t>
            </w:r>
          </w:p>
          <w:p w14:paraId="465FC502" w14:textId="27C62267" w:rsidR="00D87E84" w:rsidRPr="00397216" w:rsidRDefault="00C1049B" w:rsidP="00E866BD">
            <w:pPr>
              <w:ind w:left="270"/>
              <w:rPr>
                <w:bCs/>
                <w:szCs w:val="24"/>
              </w:rPr>
            </w:pPr>
            <w:r>
              <w:rPr>
                <w:bCs/>
                <w:szCs w:val="24"/>
              </w:rPr>
              <w:t>Peter Leuzinger</w:t>
            </w:r>
            <w:r w:rsidR="00397216" w:rsidRPr="00397216">
              <w:rPr>
                <w:bCs/>
                <w:szCs w:val="24"/>
              </w:rPr>
              <w:t>, Forester III, Deputy Chief Forestry Assistance</w:t>
            </w:r>
          </w:p>
          <w:p w14:paraId="36CEAE7A" w14:textId="77777777" w:rsidR="00397216" w:rsidRPr="00814BBF" w:rsidRDefault="00397216" w:rsidP="00E866BD">
            <w:pPr>
              <w:ind w:left="270"/>
              <w:rPr>
                <w:b/>
                <w:szCs w:val="24"/>
              </w:rPr>
            </w:pPr>
          </w:p>
          <w:p w14:paraId="6315C2A7" w14:textId="77777777" w:rsidR="00C0394B" w:rsidRPr="00814BBF" w:rsidRDefault="00C0394B" w:rsidP="00E866BD">
            <w:pPr>
              <w:ind w:left="270"/>
              <w:rPr>
                <w:b/>
                <w:szCs w:val="24"/>
              </w:rPr>
            </w:pPr>
            <w:r w:rsidRPr="00814BBF">
              <w:rPr>
                <w:b/>
                <w:szCs w:val="24"/>
              </w:rPr>
              <w:t>California Department of Forestry and Fire Protection (</w:t>
            </w:r>
            <w:smartTag w:uri="urn:schemas-microsoft-com:office:smarttags" w:element="place">
              <w:smartTag w:uri="urn:schemas-microsoft-com:office:smarttags" w:element="State">
                <w:r w:rsidRPr="00814BBF">
                  <w:rPr>
                    <w:b/>
                    <w:szCs w:val="24"/>
                  </w:rPr>
                  <w:t>CAL</w:t>
                </w:r>
              </w:smartTag>
            </w:smartTag>
            <w:r w:rsidRPr="00814BBF">
              <w:rPr>
                <w:b/>
                <w:szCs w:val="24"/>
              </w:rPr>
              <w:t xml:space="preserve"> FIRE)</w:t>
            </w:r>
          </w:p>
          <w:p w14:paraId="54D97435" w14:textId="77777777" w:rsidR="00C0394B" w:rsidRDefault="00C0394B" w:rsidP="00E866BD">
            <w:pPr>
              <w:ind w:left="270"/>
            </w:pPr>
          </w:p>
        </w:tc>
      </w:tr>
      <w:tr w:rsidR="00FA71F9" w:rsidRPr="00C0394B" w14:paraId="106BDC45" w14:textId="77777777" w:rsidTr="009044E4">
        <w:trPr>
          <w:trHeight w:val="378"/>
        </w:trPr>
        <w:tc>
          <w:tcPr>
            <w:tcW w:w="1080" w:type="dxa"/>
          </w:tcPr>
          <w:p w14:paraId="3DA47771" w14:textId="77777777" w:rsidR="00FA71F9" w:rsidRPr="00C0394B" w:rsidRDefault="00FA71F9" w:rsidP="00E866BD">
            <w:pPr>
              <w:ind w:left="90" w:right="80"/>
              <w:jc w:val="right"/>
              <w:rPr>
                <w:b/>
                <w:sz w:val="20"/>
              </w:rPr>
            </w:pPr>
            <w:r w:rsidRPr="00C0394B">
              <w:rPr>
                <w:b/>
                <w:sz w:val="20"/>
              </w:rPr>
              <w:t>Subject:</w:t>
            </w:r>
          </w:p>
        </w:tc>
        <w:tc>
          <w:tcPr>
            <w:tcW w:w="8910" w:type="dxa"/>
            <w:gridSpan w:val="2"/>
          </w:tcPr>
          <w:p w14:paraId="698705B0" w14:textId="76FE5DDF" w:rsidR="00FA71F9" w:rsidRPr="00814BBF" w:rsidRDefault="00397216" w:rsidP="00E866BD">
            <w:pPr>
              <w:ind w:left="270"/>
              <w:rPr>
                <w:szCs w:val="24"/>
              </w:rPr>
            </w:pPr>
            <w:bookmarkStart w:id="2" w:name="Subject"/>
            <w:bookmarkEnd w:id="2"/>
            <w:r>
              <w:rPr>
                <w:szCs w:val="24"/>
              </w:rPr>
              <w:t>Proposed changes to CFIP Practice Cap Rates for 202</w:t>
            </w:r>
            <w:r w:rsidR="00C1049B">
              <w:rPr>
                <w:szCs w:val="24"/>
              </w:rPr>
              <w:t>5</w:t>
            </w:r>
          </w:p>
          <w:p w14:paraId="7BF21065" w14:textId="77777777" w:rsidR="00FA71F9" w:rsidRPr="00814BBF" w:rsidRDefault="00FA71F9" w:rsidP="00E866BD">
            <w:pPr>
              <w:ind w:left="270"/>
              <w:rPr>
                <w:b/>
                <w:szCs w:val="24"/>
              </w:rPr>
            </w:pPr>
          </w:p>
        </w:tc>
      </w:tr>
    </w:tbl>
    <w:p w14:paraId="14EDF3FF" w14:textId="77777777" w:rsidR="00FA71F9" w:rsidRPr="00C0394B" w:rsidRDefault="00FA71F9">
      <w:pPr>
        <w:rPr>
          <w:b/>
        </w:rPr>
        <w:sectPr w:rsidR="00FA71F9" w:rsidRPr="00C0394B" w:rsidSect="00762DFE">
          <w:headerReference w:type="default" r:id="rId7"/>
          <w:footerReference w:type="default" r:id="rId8"/>
          <w:type w:val="continuous"/>
          <w:pgSz w:w="12240" w:h="15840" w:code="1"/>
          <w:pgMar w:top="720" w:right="1440" w:bottom="720" w:left="1440" w:header="720" w:footer="254" w:gutter="0"/>
          <w:cols w:space="720"/>
        </w:sectPr>
      </w:pPr>
    </w:p>
    <w:p w14:paraId="7FD23ACF" w14:textId="1764363D" w:rsidR="00397216" w:rsidRPr="00397216" w:rsidRDefault="00397216" w:rsidP="00397216">
      <w:pPr>
        <w:tabs>
          <w:tab w:val="left" w:pos="-720"/>
          <w:tab w:val="left" w:pos="1320"/>
        </w:tabs>
        <w:suppressAutoHyphens/>
        <w:spacing w:line="240" w:lineRule="exact"/>
        <w:rPr>
          <w:rFonts w:cs="Arial"/>
          <w:spacing w:val="-3"/>
          <w:sz w:val="20"/>
        </w:rPr>
      </w:pPr>
      <w:r w:rsidRPr="00397216">
        <w:rPr>
          <w:rFonts w:cs="Arial"/>
          <w:spacing w:val="-3"/>
          <w:sz w:val="20"/>
        </w:rPr>
        <w:t xml:space="preserve">The California Forest Improvement Program is seeking approval of new cap rates. </w:t>
      </w:r>
    </w:p>
    <w:p w14:paraId="3F270FD6" w14:textId="77777777" w:rsidR="00397216" w:rsidRPr="00397216" w:rsidRDefault="00397216" w:rsidP="00397216">
      <w:pPr>
        <w:rPr>
          <w:rFonts w:cs="Arial"/>
          <w:sz w:val="20"/>
        </w:rPr>
      </w:pPr>
    </w:p>
    <w:p w14:paraId="5897494D" w14:textId="77777777" w:rsidR="00397216" w:rsidRPr="00397216" w:rsidRDefault="00397216" w:rsidP="00397216">
      <w:pPr>
        <w:rPr>
          <w:rFonts w:cs="Arial"/>
          <w:sz w:val="20"/>
        </w:rPr>
      </w:pPr>
      <w:r w:rsidRPr="00397216">
        <w:rPr>
          <w:rFonts w:cs="Arial"/>
          <w:sz w:val="20"/>
        </w:rPr>
        <w:t>The California Forest Improvement Act of 1978 (PRC §</w:t>
      </w:r>
      <w:r w:rsidRPr="00397216">
        <w:rPr>
          <w:rFonts w:cs="Arial"/>
          <w:color w:val="212121"/>
          <w:sz w:val="20"/>
          <w:shd w:val="clear" w:color="auto" w:fill="FFFFFF"/>
        </w:rPr>
        <w:t xml:space="preserve">4790-4799.05) was created to provide cost-share incentives for California small non-industrial forest landowners </w:t>
      </w:r>
      <w:r w:rsidRPr="00397216">
        <w:rPr>
          <w:rFonts w:cs="Arial"/>
          <w:sz w:val="20"/>
        </w:rPr>
        <w:t xml:space="preserve">to invest in their property for the restoration, improvement and maintenance of forestland. The Act also had further objectives, to promote a healthy forest products industry, and to provide additional benefits </w:t>
      </w:r>
      <w:r w:rsidRPr="00397216">
        <w:rPr>
          <w:rStyle w:val="added-material"/>
          <w:rFonts w:cs="Arial"/>
          <w:sz w:val="20"/>
          <w:shd w:val="clear" w:color="auto" w:fill="FFFFFF"/>
        </w:rPr>
        <w:t>including</w:t>
      </w:r>
      <w:r w:rsidRPr="00397216">
        <w:rPr>
          <w:rFonts w:cs="Arial"/>
          <w:sz w:val="20"/>
          <w:shd w:val="clear" w:color="auto" w:fill="FFFFFF"/>
        </w:rPr>
        <w:t> employment opportunities in both rural and urban areas, renewable energy, protection and enhancement of air, water</w:t>
      </w:r>
      <w:r w:rsidRPr="00397216">
        <w:rPr>
          <w:rStyle w:val="added-material"/>
          <w:rFonts w:cs="Arial"/>
          <w:sz w:val="20"/>
          <w:shd w:val="clear" w:color="auto" w:fill="FFFFFF"/>
        </w:rPr>
        <w:t>,</w:t>
      </w:r>
      <w:r w:rsidRPr="00397216">
        <w:rPr>
          <w:rFonts w:cs="Arial"/>
          <w:sz w:val="20"/>
          <w:shd w:val="clear" w:color="auto" w:fill="FFFFFF"/>
        </w:rPr>
        <w:t> and soil resources, fish and wildlife habitat, and opportunities for aesthetic and recreational enjoyment.</w:t>
      </w:r>
    </w:p>
    <w:p w14:paraId="3EE3F088" w14:textId="77777777" w:rsidR="00397216" w:rsidRPr="00397216" w:rsidRDefault="00397216" w:rsidP="00397216">
      <w:pPr>
        <w:rPr>
          <w:rFonts w:cs="Arial"/>
          <w:sz w:val="20"/>
        </w:rPr>
      </w:pPr>
      <w:r w:rsidRPr="00397216">
        <w:rPr>
          <w:rFonts w:cs="Arial"/>
          <w:sz w:val="20"/>
        </w:rPr>
        <w:t xml:space="preserve"> </w:t>
      </w:r>
    </w:p>
    <w:p w14:paraId="498F57EA" w14:textId="07710A05" w:rsidR="00397216" w:rsidRPr="009A5C5D" w:rsidRDefault="00397216" w:rsidP="00397216">
      <w:pPr>
        <w:rPr>
          <w:rFonts w:cs="Arial"/>
          <w:sz w:val="20"/>
        </w:rPr>
      </w:pPr>
      <w:r w:rsidRPr="00397216">
        <w:rPr>
          <w:rFonts w:cs="Arial"/>
          <w:sz w:val="20"/>
        </w:rPr>
        <w:t xml:space="preserve">CAL FIRE’s California Forest Improvement Program (CFIP) has been in operation for over 40 years, </w:t>
      </w:r>
      <w:r w:rsidRPr="009A5C5D">
        <w:rPr>
          <w:rFonts w:cs="Arial"/>
          <w:sz w:val="20"/>
        </w:rPr>
        <w:t>providing forest landowner technical assistance, landowner education, and cost-share opportunities for forest health improvement on non-industrial forestland ownerships.</w:t>
      </w:r>
    </w:p>
    <w:p w14:paraId="7CFFC1D7" w14:textId="77777777" w:rsidR="009A761C" w:rsidRPr="009A5C5D" w:rsidRDefault="009A761C" w:rsidP="00397216">
      <w:pPr>
        <w:rPr>
          <w:rFonts w:cs="Arial"/>
          <w:sz w:val="20"/>
        </w:rPr>
      </w:pPr>
    </w:p>
    <w:p w14:paraId="054DE4D9" w14:textId="77777777" w:rsidR="009A5C5D" w:rsidRPr="009A5C5D" w:rsidRDefault="009A5C5D" w:rsidP="00397216">
      <w:pPr>
        <w:rPr>
          <w:rFonts w:cs="Arial"/>
          <w:b/>
          <w:bCs/>
          <w:sz w:val="20"/>
          <w:u w:val="single"/>
        </w:rPr>
      </w:pPr>
    </w:p>
    <w:p w14:paraId="15A78C8D" w14:textId="10F20BE6" w:rsidR="00397216" w:rsidRPr="009A5C5D" w:rsidRDefault="009A761C" w:rsidP="00397216">
      <w:pPr>
        <w:rPr>
          <w:rFonts w:cs="Arial"/>
          <w:b/>
          <w:bCs/>
          <w:sz w:val="20"/>
          <w:u w:val="single"/>
        </w:rPr>
      </w:pPr>
      <w:r w:rsidRPr="009A5C5D">
        <w:rPr>
          <w:rFonts w:cs="Arial"/>
          <w:b/>
          <w:bCs/>
          <w:sz w:val="20"/>
          <w:u w:val="single"/>
        </w:rPr>
        <w:t xml:space="preserve">Fiscal Year 2025 </w:t>
      </w:r>
      <w:r w:rsidR="00397216" w:rsidRPr="009A5C5D">
        <w:rPr>
          <w:rFonts w:cs="Arial"/>
          <w:b/>
          <w:bCs/>
          <w:sz w:val="20"/>
          <w:u w:val="single"/>
        </w:rPr>
        <w:t>Proposed CFIP Practice Cap Rate Adjustment:</w:t>
      </w:r>
    </w:p>
    <w:p w14:paraId="57C7B784" w14:textId="77777777" w:rsidR="00397216" w:rsidRPr="009A5C5D" w:rsidRDefault="00397216" w:rsidP="00397216">
      <w:pPr>
        <w:rPr>
          <w:rFonts w:cs="Arial"/>
          <w:sz w:val="20"/>
        </w:rPr>
      </w:pPr>
    </w:p>
    <w:p w14:paraId="23D828EF" w14:textId="67D139AD" w:rsidR="00397216" w:rsidRPr="009A5C5D" w:rsidRDefault="009A5C5D" w:rsidP="00397216">
      <w:pPr>
        <w:tabs>
          <w:tab w:val="left" w:pos="-720"/>
          <w:tab w:val="left" w:pos="1320"/>
        </w:tabs>
        <w:suppressAutoHyphens/>
        <w:spacing w:line="240" w:lineRule="exact"/>
        <w:rPr>
          <w:rFonts w:cs="Arial"/>
          <w:spacing w:val="-3"/>
          <w:sz w:val="20"/>
        </w:rPr>
      </w:pPr>
      <w:r w:rsidRPr="009A5C5D">
        <w:rPr>
          <w:rFonts w:cs="Arial"/>
          <w:spacing w:val="-3"/>
          <w:sz w:val="20"/>
        </w:rPr>
        <w:t>CFIP</w:t>
      </w:r>
      <w:r w:rsidR="00397216" w:rsidRPr="009A5C5D">
        <w:rPr>
          <w:rFonts w:cs="Arial"/>
          <w:spacing w:val="-3"/>
          <w:sz w:val="20"/>
        </w:rPr>
        <w:t xml:space="preserve"> reviews the </w:t>
      </w:r>
      <w:r w:rsidR="00806721" w:rsidRPr="009A5C5D">
        <w:rPr>
          <w:rFonts w:cs="Arial"/>
          <w:spacing w:val="-3"/>
          <w:sz w:val="20"/>
        </w:rPr>
        <w:t>Consumer Price Index (</w:t>
      </w:r>
      <w:r w:rsidR="00397216" w:rsidRPr="009A5C5D">
        <w:rPr>
          <w:rFonts w:cs="Arial"/>
          <w:spacing w:val="-3"/>
          <w:sz w:val="20"/>
        </w:rPr>
        <w:t>CPI</w:t>
      </w:r>
      <w:r w:rsidR="00806721" w:rsidRPr="009A5C5D">
        <w:rPr>
          <w:rFonts w:cs="Arial"/>
          <w:spacing w:val="-3"/>
          <w:sz w:val="20"/>
        </w:rPr>
        <w:t>)</w:t>
      </w:r>
      <w:r w:rsidR="00397216" w:rsidRPr="009A5C5D">
        <w:rPr>
          <w:rFonts w:cs="Arial"/>
          <w:spacing w:val="-3"/>
          <w:sz w:val="20"/>
        </w:rPr>
        <w:t xml:space="preserve"> annually for each fiscal year to determine if rate adjustments are merited.  </w:t>
      </w:r>
    </w:p>
    <w:p w14:paraId="36A71478" w14:textId="77777777" w:rsidR="00397216" w:rsidRPr="009A5C5D" w:rsidRDefault="00397216" w:rsidP="00397216">
      <w:pPr>
        <w:tabs>
          <w:tab w:val="left" w:pos="-720"/>
          <w:tab w:val="left" w:pos="1320"/>
        </w:tabs>
        <w:suppressAutoHyphens/>
        <w:spacing w:line="240" w:lineRule="exact"/>
        <w:rPr>
          <w:rFonts w:cs="Arial"/>
          <w:spacing w:val="-3"/>
          <w:sz w:val="20"/>
        </w:rPr>
      </w:pPr>
    </w:p>
    <w:p w14:paraId="3580246A" w14:textId="73A745D8" w:rsidR="00397216" w:rsidRPr="009A5C5D" w:rsidRDefault="00397216" w:rsidP="00397216">
      <w:pPr>
        <w:tabs>
          <w:tab w:val="left" w:pos="-720"/>
          <w:tab w:val="left" w:pos="1320"/>
        </w:tabs>
        <w:suppressAutoHyphens/>
        <w:spacing w:line="240" w:lineRule="exact"/>
        <w:rPr>
          <w:rFonts w:cs="Arial"/>
          <w:spacing w:val="-3"/>
          <w:sz w:val="20"/>
        </w:rPr>
      </w:pPr>
      <w:bookmarkStart w:id="3" w:name="_Hlk191979876"/>
      <w:r w:rsidRPr="009A5C5D">
        <w:rPr>
          <w:rFonts w:cs="Arial"/>
          <w:spacing w:val="-3"/>
          <w:sz w:val="20"/>
        </w:rPr>
        <w:t xml:space="preserve">As per 14 CCR </w:t>
      </w:r>
      <w:r w:rsidRPr="009A5C5D">
        <w:rPr>
          <w:rFonts w:cs="Arial"/>
          <w:sz w:val="20"/>
        </w:rPr>
        <w:t>§</w:t>
      </w:r>
      <w:r w:rsidRPr="009A5C5D">
        <w:rPr>
          <w:rFonts w:cs="Arial"/>
          <w:spacing w:val="-3"/>
          <w:sz w:val="20"/>
        </w:rPr>
        <w:t>1530.1:</w:t>
      </w:r>
    </w:p>
    <w:bookmarkEnd w:id="3"/>
    <w:p w14:paraId="4F6106B1" w14:textId="5C9CC285" w:rsidR="00466196" w:rsidRPr="009A5C5D" w:rsidRDefault="00466196" w:rsidP="00466196">
      <w:pPr>
        <w:tabs>
          <w:tab w:val="left" w:pos="-720"/>
          <w:tab w:val="left" w:pos="1320"/>
        </w:tabs>
        <w:suppressAutoHyphens/>
        <w:spacing w:line="240" w:lineRule="exact"/>
        <w:rPr>
          <w:rFonts w:cs="Arial"/>
          <w:i/>
          <w:iCs/>
          <w:spacing w:val="-3"/>
          <w:sz w:val="20"/>
        </w:rPr>
      </w:pPr>
      <w:r w:rsidRPr="00466196">
        <w:rPr>
          <w:rFonts w:cs="Arial"/>
          <w:i/>
          <w:iCs/>
          <w:spacing w:val="-3"/>
          <w:sz w:val="20"/>
        </w:rPr>
        <w:t>By April 15 each fiscal year, the Director shall submit to the Board for its review a schedule of the prevailing costs of performing the practices eligible for cost sharing payments in various regions of the state. The schedule shall apply to all cost sharing agreements signed in the next fiscal year. At any time, the Director may submit amendments in the schedule to the Board for its review; such changes shall become effective upon Board approval or 75 days after submission to the Board unless the Board acts to change such amendments.</w:t>
      </w:r>
    </w:p>
    <w:p w14:paraId="2F4407C8" w14:textId="77777777" w:rsidR="00397216" w:rsidRPr="009A5C5D" w:rsidRDefault="00397216" w:rsidP="00397216">
      <w:pPr>
        <w:tabs>
          <w:tab w:val="left" w:pos="-720"/>
          <w:tab w:val="left" w:pos="1320"/>
        </w:tabs>
        <w:suppressAutoHyphens/>
        <w:spacing w:line="240" w:lineRule="exact"/>
        <w:rPr>
          <w:rFonts w:cs="Arial"/>
          <w:spacing w:val="-3"/>
          <w:sz w:val="20"/>
        </w:rPr>
      </w:pPr>
    </w:p>
    <w:p w14:paraId="539C9357" w14:textId="6AEEACB4" w:rsidR="00397216" w:rsidRPr="00634F22" w:rsidRDefault="00397216" w:rsidP="00397216">
      <w:pPr>
        <w:tabs>
          <w:tab w:val="left" w:pos="-720"/>
          <w:tab w:val="left" w:pos="1320"/>
        </w:tabs>
        <w:suppressAutoHyphens/>
        <w:spacing w:line="240" w:lineRule="exact"/>
        <w:rPr>
          <w:rFonts w:cs="Arial"/>
          <w:spacing w:val="-3"/>
          <w:sz w:val="20"/>
        </w:rPr>
      </w:pPr>
      <w:r w:rsidRPr="009A5C5D">
        <w:rPr>
          <w:rFonts w:cs="Arial"/>
          <w:spacing w:val="-3"/>
          <w:sz w:val="20"/>
        </w:rPr>
        <w:t>The CPI for California in 202</w:t>
      </w:r>
      <w:r w:rsidR="009A5C5D" w:rsidRPr="009A5C5D">
        <w:rPr>
          <w:rFonts w:cs="Arial"/>
          <w:spacing w:val="-3"/>
          <w:sz w:val="20"/>
        </w:rPr>
        <w:t>3</w:t>
      </w:r>
      <w:r w:rsidRPr="009A5C5D">
        <w:rPr>
          <w:rFonts w:cs="Arial"/>
          <w:spacing w:val="-3"/>
          <w:sz w:val="20"/>
        </w:rPr>
        <w:t xml:space="preserve"> was </w:t>
      </w:r>
      <w:r w:rsidR="009A5C5D" w:rsidRPr="009A5C5D">
        <w:rPr>
          <w:rFonts w:cs="Arial"/>
          <w:spacing w:val="-3"/>
          <w:sz w:val="20"/>
        </w:rPr>
        <w:t>3.9</w:t>
      </w:r>
      <w:r w:rsidRPr="009A5C5D">
        <w:rPr>
          <w:rFonts w:cs="Arial"/>
          <w:spacing w:val="-3"/>
          <w:sz w:val="20"/>
        </w:rPr>
        <w:t xml:space="preserve">%. This increase in inflation will affect the cost of labor, fuel, and </w:t>
      </w:r>
      <w:r w:rsidRPr="00634F22">
        <w:rPr>
          <w:rFonts w:cs="Arial"/>
          <w:spacing w:val="-3"/>
          <w:sz w:val="20"/>
        </w:rPr>
        <w:t>materials involved with forest improvement projects. The 202</w:t>
      </w:r>
      <w:r w:rsidR="009A5C5D" w:rsidRPr="00634F22">
        <w:rPr>
          <w:rFonts w:cs="Arial"/>
          <w:spacing w:val="-3"/>
          <w:sz w:val="20"/>
        </w:rPr>
        <w:t>4</w:t>
      </w:r>
      <w:r w:rsidRPr="00634F22">
        <w:rPr>
          <w:rFonts w:cs="Arial"/>
          <w:spacing w:val="-3"/>
          <w:sz w:val="20"/>
        </w:rPr>
        <w:t xml:space="preserve"> annual review of CFIP invoices found </w:t>
      </w:r>
      <w:r w:rsidR="002D12C4" w:rsidRPr="00634F22">
        <w:rPr>
          <w:rFonts w:cs="Arial"/>
          <w:spacing w:val="-3"/>
          <w:sz w:val="20"/>
        </w:rPr>
        <w:t>most</w:t>
      </w:r>
      <w:r w:rsidRPr="00634F22">
        <w:rPr>
          <w:rFonts w:cs="Arial"/>
          <w:spacing w:val="-3"/>
          <w:sz w:val="20"/>
        </w:rPr>
        <w:t xml:space="preserve"> practices were completed at the maximum CFIP </w:t>
      </w:r>
      <w:proofErr w:type="gramStart"/>
      <w:r w:rsidRPr="00634F22">
        <w:rPr>
          <w:rFonts w:cs="Arial"/>
          <w:spacing w:val="-3"/>
          <w:sz w:val="20"/>
        </w:rPr>
        <w:t>rate</w:t>
      </w:r>
      <w:proofErr w:type="gramEnd"/>
      <w:r w:rsidRPr="00634F22">
        <w:rPr>
          <w:rFonts w:cs="Arial"/>
          <w:spacing w:val="-3"/>
          <w:sz w:val="20"/>
        </w:rPr>
        <w:t xml:space="preserve"> approved with very few below cost. Therefore, a </w:t>
      </w:r>
      <w:r w:rsidR="009A5C5D" w:rsidRPr="00634F22">
        <w:rPr>
          <w:rFonts w:cs="Arial"/>
          <w:spacing w:val="-3"/>
          <w:sz w:val="20"/>
        </w:rPr>
        <w:t>3.9</w:t>
      </w:r>
      <w:r w:rsidRPr="00634F22">
        <w:rPr>
          <w:rFonts w:cs="Arial"/>
          <w:spacing w:val="-3"/>
          <w:sz w:val="20"/>
        </w:rPr>
        <w:t xml:space="preserve">% increase for every practice cost is proposed.  </w:t>
      </w:r>
    </w:p>
    <w:p w14:paraId="00D8955B" w14:textId="77777777" w:rsidR="00397216" w:rsidRPr="00634F22" w:rsidRDefault="00397216" w:rsidP="00397216">
      <w:pPr>
        <w:tabs>
          <w:tab w:val="left" w:pos="-720"/>
          <w:tab w:val="left" w:pos="1320"/>
        </w:tabs>
        <w:suppressAutoHyphens/>
        <w:spacing w:line="240" w:lineRule="exact"/>
        <w:rPr>
          <w:rFonts w:cs="Arial"/>
          <w:spacing w:val="-3"/>
          <w:sz w:val="20"/>
        </w:rPr>
      </w:pPr>
    </w:p>
    <w:p w14:paraId="31DD2CDC" w14:textId="2AC024D5" w:rsidR="009A5C5D" w:rsidRPr="00634F22" w:rsidRDefault="00634F22" w:rsidP="00634F22">
      <w:pPr>
        <w:tabs>
          <w:tab w:val="left" w:pos="-720"/>
          <w:tab w:val="left" w:pos="720"/>
        </w:tabs>
        <w:suppressAutoHyphens/>
        <w:spacing w:line="240" w:lineRule="exact"/>
        <w:rPr>
          <w:rFonts w:cs="Arial"/>
          <w:spacing w:val="-3"/>
          <w:sz w:val="20"/>
        </w:rPr>
      </w:pPr>
      <w:r w:rsidRPr="00634F22">
        <w:rPr>
          <w:rFonts w:cs="Arial"/>
          <w:spacing w:val="-3"/>
          <w:sz w:val="20"/>
        </w:rPr>
        <w:t>After applying the 3.9% increase, all rates were rounded to the nearest whole dollar except the cost per acre multiplier for the following four planning practices: California Cooperative Forest Management Plan, Mini-</w:t>
      </w:r>
      <w:r w:rsidRPr="00634F22">
        <w:rPr>
          <w:rFonts w:cs="Arial"/>
          <w:spacing w:val="-3"/>
          <w:sz w:val="20"/>
        </w:rPr>
        <w:lastRenderedPageBreak/>
        <w:t>Management Plan, Archaeological Addendum and Other Plan Addendum. These four rates range from $1.45 to $5.20, so rounding to the nearest whole dollar would introduce an excessive rate adjustment.</w:t>
      </w:r>
    </w:p>
    <w:p w14:paraId="38CD50D0" w14:textId="77777777" w:rsidR="00397216" w:rsidRPr="00634F22" w:rsidRDefault="00397216" w:rsidP="00397216">
      <w:pPr>
        <w:tabs>
          <w:tab w:val="left" w:pos="-720"/>
          <w:tab w:val="left" w:pos="1320"/>
        </w:tabs>
        <w:suppressAutoHyphens/>
        <w:spacing w:line="240" w:lineRule="exact"/>
        <w:rPr>
          <w:rFonts w:cs="Arial"/>
          <w:spacing w:val="-3"/>
          <w:sz w:val="20"/>
        </w:rPr>
      </w:pPr>
    </w:p>
    <w:p w14:paraId="05F48CA7" w14:textId="42248C90" w:rsidR="00397216" w:rsidRPr="00397216" w:rsidRDefault="00397216" w:rsidP="00397216">
      <w:pPr>
        <w:tabs>
          <w:tab w:val="left" w:pos="-720"/>
          <w:tab w:val="left" w:pos="1320"/>
        </w:tabs>
        <w:suppressAutoHyphens/>
        <w:spacing w:line="240" w:lineRule="exact"/>
        <w:rPr>
          <w:rFonts w:cs="Arial"/>
          <w:i/>
          <w:iCs/>
          <w:spacing w:val="-3"/>
          <w:sz w:val="20"/>
        </w:rPr>
      </w:pPr>
      <w:r w:rsidRPr="00634F22">
        <w:rPr>
          <w:rFonts w:cs="Arial"/>
          <w:i/>
          <w:iCs/>
          <w:spacing w:val="-3"/>
          <w:sz w:val="20"/>
        </w:rPr>
        <w:t xml:space="preserve">As with </w:t>
      </w:r>
      <w:r w:rsidR="001A34B6" w:rsidRPr="00634F22">
        <w:rPr>
          <w:rFonts w:cs="Arial"/>
          <w:i/>
          <w:iCs/>
          <w:spacing w:val="-3"/>
          <w:sz w:val="20"/>
        </w:rPr>
        <w:t>all</w:t>
      </w:r>
      <w:r w:rsidRPr="00634F22">
        <w:rPr>
          <w:rFonts w:cs="Arial"/>
          <w:i/>
          <w:iCs/>
          <w:spacing w:val="-3"/>
          <w:sz w:val="20"/>
        </w:rPr>
        <w:t xml:space="preserve"> CFIP</w:t>
      </w:r>
      <w:r w:rsidR="001A34B6">
        <w:rPr>
          <w:rFonts w:cs="Arial"/>
          <w:i/>
          <w:iCs/>
          <w:spacing w:val="-3"/>
          <w:sz w:val="20"/>
        </w:rPr>
        <w:t>’</w:t>
      </w:r>
      <w:r w:rsidRPr="00634F22">
        <w:rPr>
          <w:rFonts w:cs="Arial"/>
          <w:i/>
          <w:iCs/>
          <w:spacing w:val="-3"/>
          <w:sz w:val="20"/>
        </w:rPr>
        <w:t>s rate adjustments, amendments to existing contracts will not be allowed. CFIPs rates are published on our website and are included with each participants contracts, so participants are aware of the rates when they enter into</w:t>
      </w:r>
      <w:r w:rsidRPr="00C1049B">
        <w:rPr>
          <w:rFonts w:cs="Arial"/>
          <w:i/>
          <w:iCs/>
          <w:spacing w:val="-3"/>
          <w:sz w:val="20"/>
        </w:rPr>
        <w:t xml:space="preserve"> an agreement.</w:t>
      </w:r>
      <w:r w:rsidRPr="00397216">
        <w:rPr>
          <w:rFonts w:cs="Arial"/>
          <w:i/>
          <w:iCs/>
          <w:spacing w:val="-3"/>
          <w:sz w:val="20"/>
        </w:rPr>
        <w:t xml:space="preserve"> </w:t>
      </w:r>
    </w:p>
    <w:p w14:paraId="61695316" w14:textId="77777777" w:rsidR="00397216" w:rsidRPr="00397216" w:rsidRDefault="00397216" w:rsidP="00397216">
      <w:pPr>
        <w:tabs>
          <w:tab w:val="left" w:pos="-720"/>
          <w:tab w:val="left" w:pos="1320"/>
        </w:tabs>
        <w:suppressAutoHyphens/>
        <w:spacing w:line="240" w:lineRule="exact"/>
        <w:rPr>
          <w:rFonts w:cs="Arial"/>
          <w:spacing w:val="-3"/>
          <w:sz w:val="20"/>
        </w:rPr>
      </w:pPr>
    </w:p>
    <w:p w14:paraId="43F4E139" w14:textId="76E80103" w:rsidR="00397216" w:rsidRPr="00397216" w:rsidRDefault="00397216" w:rsidP="00397216">
      <w:pPr>
        <w:tabs>
          <w:tab w:val="left" w:pos="-720"/>
          <w:tab w:val="left" w:pos="1320"/>
        </w:tabs>
        <w:suppressAutoHyphens/>
        <w:spacing w:line="240" w:lineRule="exact"/>
        <w:rPr>
          <w:rFonts w:cs="Arial"/>
          <w:spacing w:val="-3"/>
          <w:sz w:val="20"/>
        </w:rPr>
      </w:pPr>
      <w:r w:rsidRPr="00397216">
        <w:rPr>
          <w:rFonts w:cs="Arial"/>
          <w:spacing w:val="-3"/>
          <w:sz w:val="20"/>
        </w:rPr>
        <w:t xml:space="preserve">The Department requests that the attached cost share rates be approved and made effective </w:t>
      </w:r>
      <w:r w:rsidR="002F0C6D">
        <w:rPr>
          <w:rFonts w:cs="Arial"/>
          <w:spacing w:val="-3"/>
          <w:sz w:val="20"/>
        </w:rPr>
        <w:t>July 1, 2025</w:t>
      </w:r>
      <w:r w:rsidRPr="00397216">
        <w:rPr>
          <w:rFonts w:cs="Arial"/>
          <w:spacing w:val="-3"/>
          <w:sz w:val="20"/>
        </w:rPr>
        <w:t>.</w:t>
      </w:r>
    </w:p>
    <w:p w14:paraId="247112F0" w14:textId="77777777" w:rsidR="00397216" w:rsidRPr="00397216" w:rsidRDefault="00397216" w:rsidP="00397216">
      <w:pPr>
        <w:tabs>
          <w:tab w:val="left" w:pos="-720"/>
          <w:tab w:val="left" w:pos="1320"/>
        </w:tabs>
        <w:suppressAutoHyphens/>
        <w:spacing w:line="240" w:lineRule="exact"/>
        <w:rPr>
          <w:rFonts w:cs="Arial"/>
          <w:spacing w:val="-3"/>
          <w:sz w:val="20"/>
        </w:rPr>
      </w:pPr>
    </w:p>
    <w:p w14:paraId="3C3D971E" w14:textId="77777777" w:rsidR="00397216" w:rsidRPr="00397216" w:rsidRDefault="00397216" w:rsidP="00397216">
      <w:pPr>
        <w:tabs>
          <w:tab w:val="left" w:pos="-720"/>
          <w:tab w:val="left" w:pos="1320"/>
        </w:tabs>
        <w:suppressAutoHyphens/>
        <w:spacing w:line="240" w:lineRule="exact"/>
        <w:rPr>
          <w:rFonts w:cs="Arial"/>
          <w:spacing w:val="-3"/>
          <w:sz w:val="20"/>
        </w:rPr>
      </w:pPr>
    </w:p>
    <w:p w14:paraId="630EB0DF" w14:textId="77777777" w:rsidR="00397216" w:rsidRDefault="00397216" w:rsidP="00397216">
      <w:pPr>
        <w:tabs>
          <w:tab w:val="left" w:pos="-720"/>
          <w:tab w:val="left" w:pos="1320"/>
        </w:tabs>
        <w:suppressAutoHyphens/>
        <w:spacing w:line="240" w:lineRule="exact"/>
        <w:rPr>
          <w:spacing w:val="-3"/>
          <w:szCs w:val="24"/>
        </w:rPr>
      </w:pPr>
    </w:p>
    <w:p w14:paraId="45A449C1" w14:textId="77777777" w:rsidR="00397216" w:rsidRDefault="00397216" w:rsidP="00397216">
      <w:pPr>
        <w:tabs>
          <w:tab w:val="left" w:pos="9990"/>
        </w:tabs>
        <w:rPr>
          <w:b/>
          <w:sz w:val="28"/>
          <w:szCs w:val="48"/>
          <w:u w:val="single"/>
        </w:rPr>
      </w:pPr>
    </w:p>
    <w:p w14:paraId="07B64892" w14:textId="77777777" w:rsidR="00FA71F9" w:rsidRPr="002E5E97" w:rsidRDefault="00FA71F9" w:rsidP="0098131A">
      <w:pPr>
        <w:rPr>
          <w:szCs w:val="24"/>
        </w:rPr>
      </w:pPr>
    </w:p>
    <w:sectPr w:rsidR="00FA71F9" w:rsidRPr="002E5E97">
      <w:type w:val="continuous"/>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0F66" w14:textId="77777777" w:rsidR="00A65940" w:rsidRDefault="00A65940">
      <w:r>
        <w:separator/>
      </w:r>
    </w:p>
  </w:endnote>
  <w:endnote w:type="continuationSeparator" w:id="0">
    <w:p w14:paraId="7CAE0CDB" w14:textId="77777777" w:rsidR="00A65940" w:rsidRDefault="00A6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B5C0" w14:textId="77777777" w:rsidR="00814BBF" w:rsidRDefault="00814BBF" w:rsidP="009044E4">
    <w:pPr>
      <w:pStyle w:val="Footer"/>
      <w:ind w:left="-450" w:right="-450"/>
      <w:jc w:val="center"/>
      <w:rPr>
        <w:b/>
        <w:sz w:val="16"/>
      </w:rPr>
    </w:pPr>
  </w:p>
  <w:p w14:paraId="5D7C33EE" w14:textId="77777777" w:rsidR="00E2534A" w:rsidRPr="009044E4" w:rsidRDefault="009044E4" w:rsidP="009044E4">
    <w:pPr>
      <w:pStyle w:val="Footer"/>
      <w:tabs>
        <w:tab w:val="clear" w:pos="4320"/>
        <w:tab w:val="clear" w:pos="8640"/>
      </w:tabs>
      <w:ind w:left="-450" w:right="-450"/>
      <w:jc w:val="center"/>
      <w:rPr>
        <w:rFonts w:ascii="Times New Roman" w:hAnsi="Times New Roman"/>
        <w:sz w:val="18"/>
        <w:szCs w:val="18"/>
      </w:rPr>
    </w:pPr>
    <w:r w:rsidRPr="00692D77">
      <w:rPr>
        <w:rFonts w:ascii="Times New Roman" w:hAnsi="Times New Roman"/>
        <w:i/>
        <w:sz w:val="18"/>
      </w:rPr>
      <w:t>“The Department of Forestry and Fire Protection serves and safeguards the people and protects the property and resources of California.”</w:t>
    </w:r>
  </w:p>
  <w:p w14:paraId="00E11F9C" w14:textId="112CD971" w:rsidR="00893632" w:rsidRPr="009044E4" w:rsidRDefault="00AA3FBA" w:rsidP="00E2534A">
    <w:pPr>
      <w:pStyle w:val="Footer"/>
      <w:tabs>
        <w:tab w:val="clear" w:pos="8640"/>
      </w:tabs>
      <w:rPr>
        <w:rFonts w:ascii="Times New Roman" w:hAnsi="Times New Roman"/>
        <w:b/>
        <w:sz w:val="18"/>
        <w:szCs w:val="18"/>
      </w:rPr>
    </w:pPr>
    <w:r>
      <w:rPr>
        <w:rFonts w:ascii="Times New Roman" w:hAnsi="Times New Roman"/>
        <w:b/>
        <w:sz w:val="18"/>
        <w:szCs w:val="18"/>
      </w:rPr>
      <w:tab/>
    </w:r>
    <w:r>
      <w:t>MGMT 2(a)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AA54" w14:textId="77777777" w:rsidR="00A65940" w:rsidRDefault="00A65940">
      <w:r>
        <w:separator/>
      </w:r>
    </w:p>
  </w:footnote>
  <w:footnote w:type="continuationSeparator" w:id="0">
    <w:p w14:paraId="453BB484" w14:textId="77777777" w:rsidR="00A65940" w:rsidRDefault="00A6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FFBC" w14:textId="717A4550" w:rsidR="00AA3FBA" w:rsidRDefault="00AA3FB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040A0"/>
    <w:multiLevelType w:val="hybridMultilevel"/>
    <w:tmpl w:val="911C4338"/>
    <w:lvl w:ilvl="0" w:tplc="68A051E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8119C"/>
    <w:multiLevelType w:val="hybridMultilevel"/>
    <w:tmpl w:val="F6FE16D6"/>
    <w:lvl w:ilvl="0" w:tplc="5AD04A0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647ED"/>
    <w:multiLevelType w:val="hybridMultilevel"/>
    <w:tmpl w:val="CFF0A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822874">
    <w:abstractNumId w:val="1"/>
  </w:num>
  <w:num w:numId="2" w16cid:durableId="1476026723">
    <w:abstractNumId w:val="2"/>
  </w:num>
  <w:num w:numId="3" w16cid:durableId="46053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fRty4UrfMkF5f+D1lck5iCjvQ95h4208kMyEnHQq7Un8CPtMNCWEhE3rwidtdjif/g1i/DGVVCOslD792jaDg==" w:salt="sm7G9fEmMuBnnk2h+NJ+i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16"/>
    <w:rsid w:val="00006E9F"/>
    <w:rsid w:val="000469A0"/>
    <w:rsid w:val="00047B05"/>
    <w:rsid w:val="00070FE0"/>
    <w:rsid w:val="000D143C"/>
    <w:rsid w:val="001A34B6"/>
    <w:rsid w:val="001B20EF"/>
    <w:rsid w:val="001C1EEC"/>
    <w:rsid w:val="001D692B"/>
    <w:rsid w:val="001D74B9"/>
    <w:rsid w:val="00264843"/>
    <w:rsid w:val="002D12C4"/>
    <w:rsid w:val="002D4815"/>
    <w:rsid w:val="002E3730"/>
    <w:rsid w:val="002E5E97"/>
    <w:rsid w:val="002F0C6D"/>
    <w:rsid w:val="002F4047"/>
    <w:rsid w:val="00307969"/>
    <w:rsid w:val="003176B0"/>
    <w:rsid w:val="00397216"/>
    <w:rsid w:val="003E77D8"/>
    <w:rsid w:val="00450981"/>
    <w:rsid w:val="00453F41"/>
    <w:rsid w:val="00466196"/>
    <w:rsid w:val="00512EDC"/>
    <w:rsid w:val="005301D9"/>
    <w:rsid w:val="005762DD"/>
    <w:rsid w:val="005925E9"/>
    <w:rsid w:val="00625DB3"/>
    <w:rsid w:val="00631F75"/>
    <w:rsid w:val="00634F22"/>
    <w:rsid w:val="006A1C31"/>
    <w:rsid w:val="006B75FA"/>
    <w:rsid w:val="006C0E1C"/>
    <w:rsid w:val="007600FB"/>
    <w:rsid w:val="00762DFE"/>
    <w:rsid w:val="00766FEC"/>
    <w:rsid w:val="00771596"/>
    <w:rsid w:val="00791060"/>
    <w:rsid w:val="007B4006"/>
    <w:rsid w:val="007C7771"/>
    <w:rsid w:val="00806721"/>
    <w:rsid w:val="00814BBF"/>
    <w:rsid w:val="0082145C"/>
    <w:rsid w:val="0084039F"/>
    <w:rsid w:val="00893632"/>
    <w:rsid w:val="008C0C2B"/>
    <w:rsid w:val="008D741B"/>
    <w:rsid w:val="009044E4"/>
    <w:rsid w:val="00907247"/>
    <w:rsid w:val="0098131A"/>
    <w:rsid w:val="009A27CC"/>
    <w:rsid w:val="009A27FB"/>
    <w:rsid w:val="009A5C5D"/>
    <w:rsid w:val="009A761C"/>
    <w:rsid w:val="009D1317"/>
    <w:rsid w:val="00A43DD0"/>
    <w:rsid w:val="00A65940"/>
    <w:rsid w:val="00AA3FBA"/>
    <w:rsid w:val="00AC178B"/>
    <w:rsid w:val="00AC5B79"/>
    <w:rsid w:val="00AD370B"/>
    <w:rsid w:val="00AE47D7"/>
    <w:rsid w:val="00AF41A4"/>
    <w:rsid w:val="00B279C6"/>
    <w:rsid w:val="00B94E6A"/>
    <w:rsid w:val="00C0394B"/>
    <w:rsid w:val="00C1049B"/>
    <w:rsid w:val="00C11F41"/>
    <w:rsid w:val="00C32CC0"/>
    <w:rsid w:val="00C44666"/>
    <w:rsid w:val="00C53A57"/>
    <w:rsid w:val="00C54BE3"/>
    <w:rsid w:val="00C826EC"/>
    <w:rsid w:val="00CD571D"/>
    <w:rsid w:val="00D4499D"/>
    <w:rsid w:val="00D87E84"/>
    <w:rsid w:val="00D94C90"/>
    <w:rsid w:val="00E03F56"/>
    <w:rsid w:val="00E10949"/>
    <w:rsid w:val="00E11514"/>
    <w:rsid w:val="00E12AE0"/>
    <w:rsid w:val="00E223C8"/>
    <w:rsid w:val="00E2534A"/>
    <w:rsid w:val="00E467F0"/>
    <w:rsid w:val="00E86266"/>
    <w:rsid w:val="00E866BD"/>
    <w:rsid w:val="00EA77F3"/>
    <w:rsid w:val="00ED48B5"/>
    <w:rsid w:val="00F00B10"/>
    <w:rsid w:val="00F14088"/>
    <w:rsid w:val="00F33DDD"/>
    <w:rsid w:val="00F36B50"/>
    <w:rsid w:val="00F57E7D"/>
    <w:rsid w:val="00F77232"/>
    <w:rsid w:val="00FA0C5B"/>
    <w:rsid w:val="00FA71F9"/>
    <w:rsid w:val="00FB0E28"/>
    <w:rsid w:val="00FE3C0F"/>
    <w:rsid w:val="00FE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1B64CC6"/>
  <w15:docId w15:val="{5124E170-84FC-43C7-AD86-DAE68F19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0" w:lineRule="atLeast"/>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1C31"/>
    <w:rPr>
      <w:rFonts w:ascii="Tahoma" w:hAnsi="Tahoma" w:cs="Tahoma"/>
      <w:sz w:val="16"/>
      <w:szCs w:val="16"/>
    </w:rPr>
  </w:style>
  <w:style w:type="character" w:styleId="Hyperlink">
    <w:name w:val="Hyperlink"/>
    <w:rsid w:val="00D87E84"/>
    <w:rPr>
      <w:color w:val="0000FF"/>
      <w:u w:val="single"/>
    </w:rPr>
  </w:style>
  <w:style w:type="character" w:customStyle="1" w:styleId="added-material">
    <w:name w:val="added-material"/>
    <w:basedOn w:val="DefaultParagraphFont"/>
    <w:rsid w:val="00397216"/>
  </w:style>
  <w:style w:type="paragraph" w:styleId="CommentSubject">
    <w:name w:val="annotation subject"/>
    <w:basedOn w:val="CommentText"/>
    <w:next w:val="CommentText"/>
    <w:link w:val="CommentSubjectChar"/>
    <w:rsid w:val="00C1049B"/>
    <w:pPr>
      <w:spacing w:line="240" w:lineRule="auto"/>
    </w:pPr>
    <w:rPr>
      <w:b/>
      <w:bCs/>
    </w:rPr>
  </w:style>
  <w:style w:type="character" w:customStyle="1" w:styleId="CommentTextChar">
    <w:name w:val="Comment Text Char"/>
    <w:basedOn w:val="DefaultParagraphFont"/>
    <w:link w:val="CommentText"/>
    <w:semiHidden/>
    <w:rsid w:val="00C1049B"/>
    <w:rPr>
      <w:rFonts w:ascii="Arial" w:hAnsi="Arial"/>
    </w:rPr>
  </w:style>
  <w:style w:type="character" w:customStyle="1" w:styleId="CommentSubjectChar">
    <w:name w:val="Comment Subject Char"/>
    <w:basedOn w:val="CommentTextChar"/>
    <w:link w:val="CommentSubject"/>
    <w:rsid w:val="00C104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78385">
      <w:bodyDiv w:val="1"/>
      <w:marLeft w:val="0"/>
      <w:marRight w:val="0"/>
      <w:marTop w:val="0"/>
      <w:marBottom w:val="0"/>
      <w:divBdr>
        <w:top w:val="none" w:sz="0" w:space="0" w:color="auto"/>
        <w:left w:val="none" w:sz="0" w:space="0" w:color="auto"/>
        <w:bottom w:val="none" w:sz="0" w:space="0" w:color="auto"/>
        <w:right w:val="none" w:sz="0" w:space="0" w:color="auto"/>
      </w:divBdr>
    </w:div>
    <w:div w:id="454180020">
      <w:bodyDiv w:val="1"/>
      <w:marLeft w:val="0"/>
      <w:marRight w:val="0"/>
      <w:marTop w:val="0"/>
      <w:marBottom w:val="0"/>
      <w:divBdr>
        <w:top w:val="none" w:sz="0" w:space="0" w:color="auto"/>
        <w:left w:val="none" w:sz="0" w:space="0" w:color="auto"/>
        <w:bottom w:val="none" w:sz="0" w:space="0" w:color="auto"/>
        <w:right w:val="none" w:sz="0" w:space="0" w:color="auto"/>
      </w:divBdr>
    </w:div>
    <w:div w:id="1253784435">
      <w:bodyDiv w:val="1"/>
      <w:marLeft w:val="0"/>
      <w:marRight w:val="0"/>
      <w:marTop w:val="0"/>
      <w:marBottom w:val="0"/>
      <w:divBdr>
        <w:top w:val="none" w:sz="0" w:space="0" w:color="auto"/>
        <w:left w:val="none" w:sz="0" w:space="0" w:color="auto"/>
        <w:bottom w:val="none" w:sz="0" w:space="0" w:color="auto"/>
        <w:right w:val="none" w:sz="0" w:space="0" w:color="auto"/>
      </w:divBdr>
    </w:div>
    <w:div w:id="14900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maley\AppData\Local\Temp\MicrosoftEdgeDownloads\17df1ae7-5051-41aa-98f7-842b9696f65e\template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template_memo.dotx</Template>
  <TotalTime>65</TotalTime>
  <Pages>2</Pages>
  <Words>487</Words>
  <Characters>3908</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State of California                                                                                                                The resources Agency</vt:lpstr>
    </vt:vector>
  </TitlesOfParts>
  <Company/>
  <LinksUpToDate>false</LinksUpToDate>
  <CharactersWithSpaces>4387</CharactersWithSpaces>
  <SharedDoc>false</SharedDoc>
  <HLinks>
    <vt:vector size="6" baseType="variant">
      <vt:variant>
        <vt:i4>6422563</vt:i4>
      </vt:variant>
      <vt:variant>
        <vt:i4>0</vt:i4>
      </vt:variant>
      <vt:variant>
        <vt:i4>0</vt:i4>
      </vt:variant>
      <vt:variant>
        <vt:i4>5</vt:i4>
      </vt:variant>
      <vt:variant>
        <vt:lpwstr>http://webfp1/fpfsweb/catalog.aspx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The resources Agency</dc:title>
  <dc:creator>Ramaley, John@CALFIRE</dc:creator>
  <cp:lastModifiedBy>Kemp, Mazonika@BOF</cp:lastModifiedBy>
  <cp:revision>15</cp:revision>
  <cp:lastPrinted>2013-01-24T15:29:00Z</cp:lastPrinted>
  <dcterms:created xsi:type="dcterms:W3CDTF">2023-10-26T19:00:00Z</dcterms:created>
  <dcterms:modified xsi:type="dcterms:W3CDTF">2025-05-05T16:06:00Z</dcterms:modified>
</cp:coreProperties>
</file>