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8CAC" w14:textId="77777777" w:rsidR="00021862" w:rsidRDefault="00021862" w:rsidP="00021862">
      <w:pPr>
        <w:rPr>
          <w:color w:val="FFFFFF" w:themeColor="background1"/>
        </w:rPr>
      </w:pPr>
      <w:bookmarkStart w:id="0" w:name="_Toc10813311"/>
      <w:bookmarkStart w:id="1" w:name="_GoBack"/>
      <w:bookmarkEnd w:id="1"/>
      <w:r>
        <w:rPr>
          <w:color w:val="FFFFFF" w:themeColor="background1"/>
        </w:rPr>
        <w:t>Please adjust your screen reader settings to recognize underline and strikethrough text.</w:t>
      </w:r>
    </w:p>
    <w:p w14:paraId="46062226" w14:textId="5505EFB7" w:rsidR="00BE2039" w:rsidRDefault="00CA49BF" w:rsidP="00EF68AF">
      <w:pPr>
        <w:pStyle w:val="Heading2"/>
        <w:tabs>
          <w:tab w:val="left" w:pos="2700"/>
        </w:tabs>
      </w:pPr>
      <w:r w:rsidRPr="00CA49BF">
        <w:t>Transportation</w:t>
      </w:r>
      <w:bookmarkEnd w:id="0"/>
    </w:p>
    <w:p w14:paraId="40007756" w14:textId="63AF0666" w:rsidR="00C060B9" w:rsidRDefault="00B37433" w:rsidP="006226EE">
      <w:pPr>
        <w:pStyle w:val="BodyText"/>
      </w:pPr>
      <w:r w:rsidRPr="00B37433">
        <w:t>This section describes the existing transportation system</w:t>
      </w:r>
      <w:r>
        <w:t xml:space="preserve">, with focus on rural road networks </w:t>
      </w:r>
      <w:r w:rsidR="00C060B9">
        <w:t xml:space="preserve">in the treatable landscape, identifies </w:t>
      </w:r>
      <w:r w:rsidR="00C060B9">
        <w:rPr>
          <w:spacing w:val="-2"/>
        </w:rPr>
        <w:t>applicable regulatory requirements,</w:t>
      </w:r>
      <w:r w:rsidR="00C060B9">
        <w:t xml:space="preserve"> </w:t>
      </w:r>
      <w:r>
        <w:t xml:space="preserve">and evaluates </w:t>
      </w:r>
      <w:r w:rsidR="00C060B9">
        <w:t>impacts to traffic operations,</w:t>
      </w:r>
      <w:r w:rsidR="001B1696">
        <w:t xml:space="preserve"> bicycle, pedestrian, and transit facilities,</w:t>
      </w:r>
      <w:r w:rsidR="00C060B9">
        <w:t xml:space="preserve"> roadway hazards</w:t>
      </w:r>
      <w:r w:rsidR="004F5546" w:rsidRPr="004F5546">
        <w:t xml:space="preserve"> </w:t>
      </w:r>
      <w:r w:rsidR="004F5546">
        <w:t>and obstructions</w:t>
      </w:r>
      <w:r w:rsidR="00C060B9">
        <w:t xml:space="preserve">, </w:t>
      </w:r>
      <w:r w:rsidR="004F5546">
        <w:t xml:space="preserve">and </w:t>
      </w:r>
      <w:r w:rsidR="00C060B9">
        <w:t>e</w:t>
      </w:r>
      <w:r w:rsidR="00C060B9" w:rsidRPr="00C060B9">
        <w:t xml:space="preserve">mergency </w:t>
      </w:r>
      <w:r w:rsidR="00C060B9">
        <w:t>a</w:t>
      </w:r>
      <w:r w:rsidR="00C060B9" w:rsidRPr="00C060B9">
        <w:t>ccess</w:t>
      </w:r>
      <w:r w:rsidR="006C5687">
        <w:t xml:space="preserve"> </w:t>
      </w:r>
      <w:r w:rsidR="00C060B9">
        <w:t xml:space="preserve">resulting from implementation of the proposed CalVTP. </w:t>
      </w:r>
    </w:p>
    <w:p w14:paraId="1FDE495C" w14:textId="3EE85EAB" w:rsidR="00B37433" w:rsidRDefault="00F4409B" w:rsidP="009A76B2">
      <w:pPr>
        <w:pStyle w:val="BodyText"/>
      </w:pPr>
      <w:bookmarkStart w:id="2" w:name="_Hlk3031701"/>
      <w:r>
        <w:t>Comments on the Notice of Preparation related to transporta</w:t>
      </w:r>
      <w:r w:rsidRPr="00F4409B">
        <w:t>tion included comments from the California Department of Transportation (Caltrans) (</w:t>
      </w:r>
      <w:r>
        <w:t xml:space="preserve">see Appendix A). These are addressed in </w:t>
      </w:r>
      <w:r w:rsidRPr="009A1FFC">
        <w:t>Section</w:t>
      </w:r>
      <w:r w:rsidR="00A4657F">
        <w:t>s</w:t>
      </w:r>
      <w:r w:rsidRPr="009A1FFC">
        <w:t xml:space="preserve"> </w:t>
      </w:r>
      <w:r w:rsidR="009A1FFC" w:rsidRPr="009A1FFC">
        <w:t>3.15.2 and 3.15.3, below</w:t>
      </w:r>
      <w:r w:rsidRPr="009A1FFC">
        <w:t>.</w:t>
      </w:r>
      <w:bookmarkEnd w:id="2"/>
    </w:p>
    <w:p w14:paraId="5F289792" w14:textId="6EF482E2" w:rsidR="00DF2BED" w:rsidRDefault="00DF2BED" w:rsidP="00DF2BED">
      <w:pPr>
        <w:pStyle w:val="Heading3"/>
      </w:pPr>
      <w:r>
        <w:t>Environmental Setting</w:t>
      </w:r>
    </w:p>
    <w:p w14:paraId="39296836" w14:textId="59CEF220" w:rsidR="004408D3" w:rsidRDefault="007A1D69" w:rsidP="007E6B52">
      <w:pPr>
        <w:pStyle w:val="Heading4"/>
      </w:pPr>
      <w:r>
        <w:t>Study</w:t>
      </w:r>
      <w:r w:rsidR="004408D3" w:rsidRPr="004408D3">
        <w:t xml:space="preserve"> Area</w:t>
      </w:r>
    </w:p>
    <w:p w14:paraId="730970C0" w14:textId="74752FB7" w:rsidR="004408D3" w:rsidRDefault="004408D3" w:rsidP="00B7617F">
      <w:pPr>
        <w:pStyle w:val="BodyText"/>
      </w:pPr>
      <w:r>
        <w:t>Th</w:t>
      </w:r>
      <w:r w:rsidR="00CD53F3">
        <w:t xml:space="preserve">e SRA </w:t>
      </w:r>
      <w:r w:rsidR="004A6754">
        <w:t>encompasses</w:t>
      </w:r>
      <w:r w:rsidR="00CD53F3">
        <w:t xml:space="preserve"> 31 million acres of public and private land throughout the state</w:t>
      </w:r>
      <w:r w:rsidR="00791A2E">
        <w:t>, of which 20.3 million acres are considered treatable landscape</w:t>
      </w:r>
      <w:r w:rsidR="004A6754">
        <w:t xml:space="preserve"> for the purposes of the CalVTP</w:t>
      </w:r>
      <w:r w:rsidR="00791A2E">
        <w:t xml:space="preserve">. </w:t>
      </w:r>
      <w:r w:rsidR="00CD53F3" w:rsidRPr="00CD53F3">
        <w:t>CAL</w:t>
      </w:r>
      <w:r w:rsidR="005E6B1E">
        <w:t xml:space="preserve"> </w:t>
      </w:r>
      <w:r w:rsidR="00CD53F3" w:rsidRPr="00CD53F3">
        <w:t>FIRE has a legal responsibility to provide fire protection on all SRA lands, which are defined based on land ownership, population density and land use</w:t>
      </w:r>
      <w:r w:rsidR="00C81179">
        <w:t xml:space="preserve"> (</w:t>
      </w:r>
      <w:bookmarkStart w:id="3" w:name="_Hlk8200688"/>
      <w:r w:rsidR="00C81179">
        <w:t>CAL</w:t>
      </w:r>
      <w:r w:rsidR="005E6B1E">
        <w:t xml:space="preserve"> </w:t>
      </w:r>
      <w:r w:rsidR="00C81179">
        <w:t>FIRE 2012</w:t>
      </w:r>
      <w:bookmarkEnd w:id="3"/>
      <w:r w:rsidR="00C81179">
        <w:t>)</w:t>
      </w:r>
      <w:r w:rsidR="00CD53F3" w:rsidRPr="00CD53F3">
        <w:t xml:space="preserve">. </w:t>
      </w:r>
      <w:r w:rsidR="00CD53F3">
        <w:t>SRAs generally exclude</w:t>
      </w:r>
      <w:r w:rsidR="00CD53F3" w:rsidRPr="00CD53F3">
        <w:t xml:space="preserve"> densely populated areas, agricultural lands, or lands administered by the federal government.</w:t>
      </w:r>
      <w:r w:rsidR="00FB4417">
        <w:t xml:space="preserve"> </w:t>
      </w:r>
      <w:r w:rsidR="00CD53F3">
        <w:t xml:space="preserve">Within </w:t>
      </w:r>
      <w:r w:rsidR="002C13B2">
        <w:t xml:space="preserve">the treatable landscape </w:t>
      </w:r>
      <w:r w:rsidR="00CD53F3">
        <w:t xml:space="preserve">are state and locally managed roadways that </w:t>
      </w:r>
      <w:r w:rsidR="002C13B2">
        <w:t xml:space="preserve">would </w:t>
      </w:r>
      <w:r w:rsidR="00CD53F3">
        <w:t xml:space="preserve">provide access to </w:t>
      </w:r>
      <w:r w:rsidR="002C13B2">
        <w:t>treatment areas</w:t>
      </w:r>
      <w:r w:rsidR="00F66B25">
        <w:t xml:space="preserve">. </w:t>
      </w:r>
      <w:r w:rsidR="00CD53F3">
        <w:t>The</w:t>
      </w:r>
      <w:r w:rsidR="00F66B25">
        <w:t xml:space="preserve"> proposed </w:t>
      </w:r>
      <w:r w:rsidR="00CD53F3">
        <w:t>CalVTP</w:t>
      </w:r>
      <w:r w:rsidR="00A86BEE">
        <w:t xml:space="preserve"> would</w:t>
      </w:r>
      <w:r w:rsidR="001223BF">
        <w:t xml:space="preserve"> </w:t>
      </w:r>
      <w:r w:rsidR="003C5218">
        <w:t xml:space="preserve">annually </w:t>
      </w:r>
      <w:r w:rsidR="009C13E9">
        <w:t>treat</w:t>
      </w:r>
      <w:r w:rsidR="001223BF">
        <w:t xml:space="preserve"> </w:t>
      </w:r>
      <w:r w:rsidR="009C13E9">
        <w:t>approximately</w:t>
      </w:r>
      <w:r w:rsidR="001223BF">
        <w:t xml:space="preserve"> 250,000 acres of SRA lands with a combination </w:t>
      </w:r>
      <w:r w:rsidR="001223BF" w:rsidRPr="001223BF">
        <w:t xml:space="preserve">WUI fuel reduction, fuel break, and ecological restoration </w:t>
      </w:r>
      <w:r w:rsidR="009C13E9">
        <w:t>treatments</w:t>
      </w:r>
      <w:r w:rsidR="000C3ADA">
        <w:t>.</w:t>
      </w:r>
      <w:r w:rsidR="00FB4417">
        <w:t xml:space="preserve"> </w:t>
      </w:r>
      <w:r w:rsidR="009C13E9">
        <w:t>Implementation of treatment</w:t>
      </w:r>
      <w:r w:rsidR="000C3ADA">
        <w:t xml:space="preserve"> activities would require the short-term use of state and locally managed roadways. </w:t>
      </w:r>
    </w:p>
    <w:p w14:paraId="313722BD" w14:textId="520CDEF9" w:rsidR="003B0687" w:rsidRDefault="003B0687" w:rsidP="007E6B52">
      <w:pPr>
        <w:pStyle w:val="Heading4"/>
      </w:pPr>
      <w:r>
        <w:t>Roadway System</w:t>
      </w:r>
    </w:p>
    <w:p w14:paraId="52D2D6D0" w14:textId="3EE96AED" w:rsidR="003B0687" w:rsidRPr="003B0687" w:rsidRDefault="003B0687" w:rsidP="003B0687">
      <w:pPr>
        <w:pStyle w:val="BodyText"/>
      </w:pPr>
      <w:r w:rsidRPr="003B0687">
        <w:t xml:space="preserve">The three basic types of roadways in </w:t>
      </w:r>
      <w:r w:rsidR="009C13E9">
        <w:t>the treatable landscape</w:t>
      </w:r>
      <w:r w:rsidR="009C13E9" w:rsidRPr="003B0687">
        <w:t xml:space="preserve"> </w:t>
      </w:r>
      <w:r w:rsidRPr="003B0687">
        <w:t xml:space="preserve">include </w:t>
      </w:r>
      <w:r w:rsidR="009C13E9">
        <w:t>i</w:t>
      </w:r>
      <w:r w:rsidRPr="003B0687">
        <w:t xml:space="preserve">nterstate </w:t>
      </w:r>
      <w:r w:rsidR="009C13E9">
        <w:t>h</w:t>
      </w:r>
      <w:r w:rsidRPr="003B0687">
        <w:t xml:space="preserve">ighways, </w:t>
      </w:r>
      <w:r w:rsidR="009C13E9">
        <w:t>s</w:t>
      </w:r>
      <w:r w:rsidRPr="003B0687">
        <w:t xml:space="preserve">tate </w:t>
      </w:r>
      <w:r w:rsidR="009C13E9">
        <w:t>r</w:t>
      </w:r>
      <w:r w:rsidRPr="003B0687">
        <w:t xml:space="preserve">outes, and local roadways. Roadways are generally classified according to Federal Highway Administration (FHWA) Functional Classification Guidelines </w:t>
      </w:r>
      <w:r>
        <w:t>and the</w:t>
      </w:r>
      <w:r w:rsidRPr="003B0687">
        <w:t xml:space="preserve"> designed level of mobility and land access. Local roadways </w:t>
      </w:r>
      <w:r w:rsidR="009C13E9" w:rsidRPr="003B0687">
        <w:t>provide the greatest access to adjacent land via driveways and other roadways</w:t>
      </w:r>
      <w:r w:rsidRPr="003B0687">
        <w:t xml:space="preserve"> and are consequently generally smaller</w:t>
      </w:r>
      <w:r w:rsidR="009C13E9">
        <w:t xml:space="preserve"> than interstate highways and state routes</w:t>
      </w:r>
      <w:r w:rsidRPr="003B0687">
        <w:t xml:space="preserve">. </w:t>
      </w:r>
      <w:r w:rsidR="009C13E9">
        <w:t xml:space="preserve">Other roadway types in the treatable landscape are arterials and collectors. </w:t>
      </w:r>
      <w:r w:rsidRPr="003B0687">
        <w:t xml:space="preserve">Arterials emphasize a high level of mobility for through movement and consequently have higher capacity and speed with relatively little accessibility to adjacent land. Collectors offer a combination of both functions. </w:t>
      </w:r>
      <w:r w:rsidR="007235C5">
        <w:t xml:space="preserve">The </w:t>
      </w:r>
      <w:r w:rsidR="009C13E9">
        <w:t>treatable</w:t>
      </w:r>
      <w:r w:rsidR="005423D7">
        <w:t xml:space="preserve"> landscape</w:t>
      </w:r>
      <w:r w:rsidR="007235C5">
        <w:t xml:space="preserve"> is served</w:t>
      </w:r>
      <w:r w:rsidRPr="003B0687">
        <w:t xml:space="preserve"> directly and/or indirectly by one or more of these roadway types.</w:t>
      </w:r>
    </w:p>
    <w:p w14:paraId="5F00D2F0" w14:textId="0F6F059D" w:rsidR="000F0A7F" w:rsidRDefault="006D71AE" w:rsidP="007E6B52">
      <w:pPr>
        <w:pStyle w:val="Heading4"/>
      </w:pPr>
      <w:r>
        <w:t>Level of Service Definitions</w:t>
      </w:r>
    </w:p>
    <w:p w14:paraId="514A22B3" w14:textId="6C343AB0" w:rsidR="005423D7" w:rsidRDefault="000F0A7F" w:rsidP="00530CBA">
      <w:pPr>
        <w:pStyle w:val="BodyText"/>
      </w:pPr>
      <w:r>
        <w:t xml:space="preserve">Level of </w:t>
      </w:r>
      <w:r w:rsidR="00012B89">
        <w:t xml:space="preserve">service </w:t>
      </w:r>
      <w:r>
        <w:t>(LOS) is used to rank traffic operation on various types of facilities based on traffic volumes and roadway capacity using a series of letter designations ranging from A to F.</w:t>
      </w:r>
      <w:r w:rsidR="006D71AE" w:rsidRPr="006D71AE">
        <w:t xml:space="preserve"> </w:t>
      </w:r>
      <w:r>
        <w:t xml:space="preserve">Generally, </w:t>
      </w:r>
      <w:r w:rsidR="00530CBA">
        <w:t>LOS</w:t>
      </w:r>
      <w:r>
        <w:t xml:space="preserve"> A represents free flow conditions and </w:t>
      </w:r>
      <w:r w:rsidR="00530CBA">
        <w:t>LOS</w:t>
      </w:r>
      <w:r>
        <w:t xml:space="preserve"> F represents forced flow or breakdown conditions.</w:t>
      </w:r>
      <w:r w:rsidR="00FB4417">
        <w:t xml:space="preserve"> </w:t>
      </w:r>
      <w:r>
        <w:t>A unit of measure that indicates a level of delay</w:t>
      </w:r>
      <w:r w:rsidR="00FB330C">
        <w:t xml:space="preserve"> for intersections</w:t>
      </w:r>
      <w:r w:rsidR="006D71AE">
        <w:t xml:space="preserve"> or travel speed</w:t>
      </w:r>
      <w:r w:rsidR="00FB330C">
        <w:t xml:space="preserve"> for highways</w:t>
      </w:r>
      <w:r>
        <w:t xml:space="preserve"> generally accompanies the LOS </w:t>
      </w:r>
      <w:r w:rsidRPr="00530CBA">
        <w:t>designation.</w:t>
      </w:r>
      <w:r w:rsidR="00FB330C" w:rsidRPr="00530CBA">
        <w:t xml:space="preserve"> </w:t>
      </w:r>
      <w:r w:rsidR="006844F1">
        <w:t xml:space="preserve">Methods for </w:t>
      </w:r>
      <w:r w:rsidR="004045EA">
        <w:t>determining</w:t>
      </w:r>
      <w:r w:rsidR="006844F1">
        <w:t xml:space="preserve"> </w:t>
      </w:r>
      <w:r w:rsidR="00FB330C" w:rsidRPr="00530CBA">
        <w:t>LOS are published in the Highway Capacity Manual (HCM) (Transportation Research Board 20</w:t>
      </w:r>
      <w:r w:rsidR="00946311">
        <w:t>1</w:t>
      </w:r>
      <w:r w:rsidR="00FB330C" w:rsidRPr="00530CBA">
        <w:t>0)</w:t>
      </w:r>
      <w:r w:rsidR="008F5E10" w:rsidRPr="00530CBA">
        <w:t xml:space="preserve">. </w:t>
      </w:r>
      <w:r w:rsidR="00530CBA" w:rsidRPr="00530CBA">
        <w:t>Table</w:t>
      </w:r>
      <w:r w:rsidR="00D12388">
        <w:t> </w:t>
      </w:r>
      <w:r w:rsidR="00530CBA" w:rsidRPr="00530CBA">
        <w:t>3.15-1 summarize</w:t>
      </w:r>
      <w:r w:rsidR="00871319">
        <w:t>s</w:t>
      </w:r>
      <w:r w:rsidR="00530CBA" w:rsidRPr="00212A3C">
        <w:t xml:space="preserve"> the LOS descriptions for </w:t>
      </w:r>
      <w:r w:rsidR="00530CBA">
        <w:t>two-lane conventional highways.</w:t>
      </w:r>
      <w:r w:rsidR="00871319" w:rsidRPr="00871319">
        <w:t xml:space="preserve"> </w:t>
      </w:r>
      <w:r w:rsidR="00871319" w:rsidRPr="00753229">
        <w:t xml:space="preserve">Table </w:t>
      </w:r>
      <w:r w:rsidR="00871319">
        <w:t>3.15</w:t>
      </w:r>
      <w:r w:rsidR="00871319" w:rsidRPr="00753229">
        <w:t>-</w:t>
      </w:r>
      <w:r w:rsidR="00871319">
        <w:t>2</w:t>
      </w:r>
      <w:r w:rsidR="00871319" w:rsidRPr="00753229">
        <w:t xml:space="preserve"> displays the delay range associated with each LOS category for signalized and unsignalized intersections.</w:t>
      </w:r>
      <w:r w:rsidR="006844F1">
        <w:t xml:space="preserve"> All LOS designations are present in the roadways within the treatable landscape.</w:t>
      </w:r>
      <w:r w:rsidR="00FB4417">
        <w:t xml:space="preserve"> </w:t>
      </w:r>
    </w:p>
    <w:p w14:paraId="44247ED2" w14:textId="77777777" w:rsidR="00880EF6" w:rsidRDefault="00880EF6">
      <w:bookmarkStart w:id="4" w:name="_Toc480902955"/>
      <w:bookmarkStart w:id="5" w:name="_Toc491868376"/>
      <w:r>
        <w:rPr>
          <w:bCs/>
        </w:rPr>
        <w:br w:type="page"/>
      </w:r>
    </w:p>
    <w:p w14:paraId="4B7A5DA7" w14:textId="77777777" w:rsidR="00BC3B3B" w:rsidRPr="00301464" w:rsidRDefault="00BC3B3B" w:rsidP="00CB7B35">
      <w:pPr>
        <w:pStyle w:val="TableHeader"/>
      </w:pPr>
      <w:bookmarkStart w:id="6" w:name="_Toc23837956"/>
      <w:bookmarkEnd w:id="4"/>
      <w:bookmarkEnd w:id="5"/>
      <w:r w:rsidRPr="00530CBA">
        <w:lastRenderedPageBreak/>
        <w:t>Table 3.15-1</w:t>
      </w:r>
      <w:r w:rsidRPr="00301464">
        <w:tab/>
        <w:t>Two-Lane Conventional Highway</w:t>
      </w:r>
      <w:r w:rsidRPr="00753229">
        <w:t xml:space="preserve"> Level of Service Definitions</w:t>
      </w:r>
      <w:bookmarkEnd w:id="6"/>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610"/>
        <w:gridCol w:w="7470"/>
      </w:tblGrid>
      <w:tr w:rsidR="001A7F6B" w:rsidRPr="00880260" w14:paraId="664DB883" w14:textId="77777777" w:rsidTr="00597C02">
        <w:trPr>
          <w:tblHeader/>
          <w:jc w:val="center"/>
        </w:trPr>
        <w:tc>
          <w:tcPr>
            <w:tcW w:w="2610" w:type="dxa"/>
            <w:tcBorders>
              <w:top w:val="single" w:sz="4" w:space="0" w:color="auto"/>
            </w:tcBorders>
            <w:shd w:val="clear" w:color="auto" w:fill="D9D9D9" w:themeFill="background1" w:themeFillShade="D9"/>
            <w:vAlign w:val="center"/>
          </w:tcPr>
          <w:p w14:paraId="076C72DA" w14:textId="77777777" w:rsidR="001A7F6B" w:rsidRPr="00880260" w:rsidRDefault="001A7F6B" w:rsidP="00CB7B35">
            <w:pPr>
              <w:pStyle w:val="TableColumn"/>
            </w:pPr>
            <w:r w:rsidRPr="00880260">
              <w:t>LOS</w:t>
            </w:r>
          </w:p>
        </w:tc>
        <w:tc>
          <w:tcPr>
            <w:tcW w:w="7470" w:type="dxa"/>
            <w:tcBorders>
              <w:top w:val="single" w:sz="4" w:space="0" w:color="auto"/>
            </w:tcBorders>
            <w:shd w:val="clear" w:color="auto" w:fill="D9D9D9" w:themeFill="background1" w:themeFillShade="D9"/>
            <w:vAlign w:val="center"/>
          </w:tcPr>
          <w:p w14:paraId="286C8597" w14:textId="77777777" w:rsidR="001A7F6B" w:rsidRPr="00880260" w:rsidRDefault="001A7F6B" w:rsidP="00CB7B35">
            <w:pPr>
              <w:pStyle w:val="TableColumn"/>
            </w:pPr>
            <w:r w:rsidRPr="00880260">
              <w:t>Traffic Description</w:t>
            </w:r>
          </w:p>
        </w:tc>
      </w:tr>
      <w:tr w:rsidR="001A7F6B" w:rsidRPr="00880260" w14:paraId="5134DA8E" w14:textId="77777777" w:rsidTr="001A7F6B">
        <w:trPr>
          <w:jc w:val="center"/>
        </w:trPr>
        <w:tc>
          <w:tcPr>
            <w:tcW w:w="2610" w:type="dxa"/>
            <w:vAlign w:val="center"/>
          </w:tcPr>
          <w:p w14:paraId="4EAC5E71" w14:textId="77777777" w:rsidR="001A7F6B" w:rsidRPr="00880260" w:rsidRDefault="001A7F6B" w:rsidP="00237698">
            <w:pPr>
              <w:pStyle w:val="TableText"/>
            </w:pPr>
            <w:r w:rsidRPr="00880260">
              <w:t>A</w:t>
            </w:r>
          </w:p>
        </w:tc>
        <w:tc>
          <w:tcPr>
            <w:tcW w:w="7470" w:type="dxa"/>
            <w:vAlign w:val="center"/>
          </w:tcPr>
          <w:p w14:paraId="0C3B122C" w14:textId="1B751DA0" w:rsidR="001A7F6B" w:rsidRPr="001A7F6B" w:rsidRDefault="001A7F6B" w:rsidP="001A7F6B">
            <w:pPr>
              <w:autoSpaceDE w:val="0"/>
              <w:autoSpaceDN w:val="0"/>
              <w:adjustRightInd w:val="0"/>
              <w:rPr>
                <w:w w:val="90"/>
                <w:sz w:val="18"/>
                <w:szCs w:val="20"/>
              </w:rPr>
            </w:pPr>
            <w:r w:rsidRPr="001A7F6B">
              <w:rPr>
                <w:w w:val="90"/>
                <w:sz w:val="18"/>
                <w:szCs w:val="20"/>
              </w:rPr>
              <w:t>Motorists experience high operating speeds and little difficulty passing.</w:t>
            </w:r>
          </w:p>
        </w:tc>
      </w:tr>
      <w:tr w:rsidR="001A7F6B" w:rsidRPr="00880260" w14:paraId="6AD52312" w14:textId="77777777" w:rsidTr="001A7F6B">
        <w:trPr>
          <w:jc w:val="center"/>
        </w:trPr>
        <w:tc>
          <w:tcPr>
            <w:tcW w:w="2610" w:type="dxa"/>
            <w:vAlign w:val="center"/>
          </w:tcPr>
          <w:p w14:paraId="73B158BE" w14:textId="77777777" w:rsidR="001A7F6B" w:rsidRPr="00880260" w:rsidRDefault="001A7F6B" w:rsidP="00237698">
            <w:pPr>
              <w:pStyle w:val="TableText"/>
            </w:pPr>
            <w:r w:rsidRPr="00880260">
              <w:t>B</w:t>
            </w:r>
          </w:p>
        </w:tc>
        <w:tc>
          <w:tcPr>
            <w:tcW w:w="7470" w:type="dxa"/>
            <w:vAlign w:val="center"/>
          </w:tcPr>
          <w:p w14:paraId="0B80E4C5" w14:textId="6A615E47" w:rsidR="001A7F6B" w:rsidRPr="00237698" w:rsidRDefault="001A7F6B" w:rsidP="00237698">
            <w:pPr>
              <w:pStyle w:val="TableTextL"/>
            </w:pPr>
            <w:r w:rsidRPr="001A7F6B">
              <w:t>Passing demand and passing capacity are balanced.</w:t>
            </w:r>
          </w:p>
        </w:tc>
      </w:tr>
      <w:tr w:rsidR="001A7F6B" w:rsidRPr="00880260" w14:paraId="5C1AB829" w14:textId="77777777" w:rsidTr="001A7F6B">
        <w:trPr>
          <w:jc w:val="center"/>
        </w:trPr>
        <w:tc>
          <w:tcPr>
            <w:tcW w:w="2610" w:type="dxa"/>
            <w:vAlign w:val="center"/>
          </w:tcPr>
          <w:p w14:paraId="0DAF4AA6" w14:textId="77777777" w:rsidR="001A7F6B" w:rsidRPr="00880260" w:rsidRDefault="001A7F6B" w:rsidP="00237698">
            <w:pPr>
              <w:pStyle w:val="TableText"/>
            </w:pPr>
            <w:r w:rsidRPr="00880260">
              <w:t>C</w:t>
            </w:r>
          </w:p>
        </w:tc>
        <w:tc>
          <w:tcPr>
            <w:tcW w:w="7470" w:type="dxa"/>
            <w:vAlign w:val="center"/>
          </w:tcPr>
          <w:p w14:paraId="6C3C306D" w14:textId="0CB09255" w:rsidR="001A7F6B" w:rsidRPr="00237698" w:rsidRDefault="001A7F6B" w:rsidP="00237698">
            <w:pPr>
              <w:pStyle w:val="TableTextL"/>
            </w:pPr>
            <w:r w:rsidRPr="001A7F6B">
              <w:t>Most vehicles travel in platoons</w:t>
            </w:r>
            <w:r>
              <w:t xml:space="preserve"> and s</w:t>
            </w:r>
            <w:r w:rsidRPr="001A7F6B">
              <w:t>peeds are noticeably curtailed</w:t>
            </w:r>
            <w:r>
              <w:t>.</w:t>
            </w:r>
          </w:p>
        </w:tc>
      </w:tr>
      <w:tr w:rsidR="001A7F6B" w:rsidRPr="00880260" w14:paraId="3CD8791B" w14:textId="77777777" w:rsidTr="001A7F6B">
        <w:trPr>
          <w:jc w:val="center"/>
        </w:trPr>
        <w:tc>
          <w:tcPr>
            <w:tcW w:w="2610" w:type="dxa"/>
            <w:vAlign w:val="center"/>
          </w:tcPr>
          <w:p w14:paraId="0817F2C3" w14:textId="77777777" w:rsidR="001A7F6B" w:rsidRPr="00880260" w:rsidRDefault="001A7F6B" w:rsidP="00237698">
            <w:pPr>
              <w:pStyle w:val="TableText"/>
            </w:pPr>
            <w:r w:rsidRPr="00880260">
              <w:t>D</w:t>
            </w:r>
          </w:p>
        </w:tc>
        <w:tc>
          <w:tcPr>
            <w:tcW w:w="7470" w:type="dxa"/>
            <w:vAlign w:val="center"/>
          </w:tcPr>
          <w:p w14:paraId="4737A597" w14:textId="76FE352D" w:rsidR="001A7F6B" w:rsidRPr="00237698" w:rsidRDefault="001A7F6B" w:rsidP="00237698">
            <w:pPr>
              <w:pStyle w:val="TableTextL"/>
            </w:pPr>
            <w:r w:rsidRPr="001A7F6B">
              <w:t>Platooning increases significantly, passing demand is high</w:t>
            </w:r>
            <w:r>
              <w:t>.</w:t>
            </w:r>
          </w:p>
        </w:tc>
      </w:tr>
      <w:tr w:rsidR="001A7F6B" w:rsidRPr="00880260" w14:paraId="020F7013" w14:textId="77777777" w:rsidTr="00BC3B3B">
        <w:trPr>
          <w:jc w:val="center"/>
        </w:trPr>
        <w:tc>
          <w:tcPr>
            <w:tcW w:w="2610" w:type="dxa"/>
            <w:tcBorders>
              <w:bottom w:val="single" w:sz="4" w:space="0" w:color="auto"/>
            </w:tcBorders>
            <w:vAlign w:val="center"/>
          </w:tcPr>
          <w:p w14:paraId="57AAE62F" w14:textId="77777777" w:rsidR="001A7F6B" w:rsidRPr="00880260" w:rsidRDefault="001A7F6B" w:rsidP="00237698">
            <w:pPr>
              <w:pStyle w:val="TableText"/>
            </w:pPr>
            <w:r w:rsidRPr="00880260">
              <w:t>E</w:t>
            </w:r>
          </w:p>
        </w:tc>
        <w:tc>
          <w:tcPr>
            <w:tcW w:w="7470" w:type="dxa"/>
            <w:tcBorders>
              <w:bottom w:val="single" w:sz="4" w:space="0" w:color="auto"/>
            </w:tcBorders>
            <w:vAlign w:val="center"/>
          </w:tcPr>
          <w:p w14:paraId="049C7A60" w14:textId="7ED1D8AB" w:rsidR="001A7F6B" w:rsidRPr="001A7F6B" w:rsidRDefault="001A7F6B" w:rsidP="001A7F6B">
            <w:pPr>
              <w:autoSpaceDE w:val="0"/>
              <w:autoSpaceDN w:val="0"/>
              <w:adjustRightInd w:val="0"/>
              <w:rPr>
                <w:w w:val="90"/>
                <w:sz w:val="18"/>
                <w:szCs w:val="20"/>
              </w:rPr>
            </w:pPr>
            <w:r w:rsidRPr="001A7F6B">
              <w:rPr>
                <w:w w:val="90"/>
                <w:sz w:val="18"/>
                <w:szCs w:val="20"/>
              </w:rPr>
              <w:t>Demand is approaching capacity,</w:t>
            </w:r>
            <w:r>
              <w:rPr>
                <w:w w:val="90"/>
                <w:sz w:val="18"/>
                <w:szCs w:val="20"/>
              </w:rPr>
              <w:t xml:space="preserve"> </w:t>
            </w:r>
            <w:r w:rsidRPr="001A7F6B">
              <w:rPr>
                <w:w w:val="90"/>
                <w:sz w:val="18"/>
                <w:szCs w:val="20"/>
              </w:rPr>
              <w:t>passing is virtually impossible, and speeds are seriously curtailed</w:t>
            </w:r>
            <w:r>
              <w:rPr>
                <w:w w:val="90"/>
                <w:sz w:val="18"/>
                <w:szCs w:val="20"/>
              </w:rPr>
              <w:t>.</w:t>
            </w:r>
          </w:p>
        </w:tc>
      </w:tr>
      <w:tr w:rsidR="001A7F6B" w:rsidRPr="00880260" w14:paraId="584DD57A" w14:textId="77777777" w:rsidTr="00BC3B3B">
        <w:trPr>
          <w:jc w:val="center"/>
        </w:trPr>
        <w:tc>
          <w:tcPr>
            <w:tcW w:w="2610" w:type="dxa"/>
            <w:tcBorders>
              <w:top w:val="single" w:sz="4" w:space="0" w:color="auto"/>
              <w:bottom w:val="single" w:sz="4" w:space="0" w:color="auto"/>
            </w:tcBorders>
            <w:vAlign w:val="center"/>
          </w:tcPr>
          <w:p w14:paraId="254B290C" w14:textId="77777777" w:rsidR="001A7F6B" w:rsidRPr="00880260" w:rsidRDefault="001A7F6B" w:rsidP="00237698">
            <w:pPr>
              <w:pStyle w:val="TableText"/>
            </w:pPr>
            <w:r w:rsidRPr="00880260">
              <w:t>F</w:t>
            </w:r>
          </w:p>
        </w:tc>
        <w:tc>
          <w:tcPr>
            <w:tcW w:w="7470" w:type="dxa"/>
            <w:tcBorders>
              <w:top w:val="single" w:sz="4" w:space="0" w:color="auto"/>
              <w:bottom w:val="single" w:sz="4" w:space="0" w:color="auto"/>
            </w:tcBorders>
            <w:vAlign w:val="center"/>
          </w:tcPr>
          <w:p w14:paraId="77E2F13E" w14:textId="2A4BF42E" w:rsidR="001A7F6B" w:rsidRPr="001A7F6B" w:rsidRDefault="001A7F6B" w:rsidP="001A7F6B">
            <w:pPr>
              <w:autoSpaceDE w:val="0"/>
              <w:autoSpaceDN w:val="0"/>
              <w:adjustRightInd w:val="0"/>
              <w:rPr>
                <w:w w:val="90"/>
                <w:sz w:val="18"/>
                <w:szCs w:val="20"/>
              </w:rPr>
            </w:pPr>
            <w:r w:rsidRPr="001A7F6B">
              <w:rPr>
                <w:w w:val="90"/>
                <w:sz w:val="18"/>
                <w:szCs w:val="20"/>
              </w:rPr>
              <w:t>Demand flow in one or both directions exceeds the segment’s capacity. Operating conditions are unstable, and heavy congestion exists.</w:t>
            </w:r>
          </w:p>
        </w:tc>
      </w:tr>
    </w:tbl>
    <w:p w14:paraId="267B1F51" w14:textId="77777777" w:rsidR="00BC3B3B" w:rsidRPr="00880260" w:rsidRDefault="00BC3B3B" w:rsidP="00987128">
      <w:pPr>
        <w:pStyle w:val="TableSource"/>
        <w:spacing w:after="240"/>
      </w:pPr>
      <w:r w:rsidRPr="00880260">
        <w:t xml:space="preserve">Source: </w:t>
      </w:r>
      <w:r>
        <w:t>Transportation Research Board</w:t>
      </w:r>
      <w:r w:rsidRPr="00880260">
        <w:t xml:space="preserve"> 201</w:t>
      </w:r>
      <w:r>
        <w:t>6</w:t>
      </w:r>
    </w:p>
    <w:p w14:paraId="61A457A9" w14:textId="77777777" w:rsidR="00987128" w:rsidRPr="00753229" w:rsidRDefault="00987128" w:rsidP="00987128">
      <w:pPr>
        <w:pStyle w:val="TableHeader"/>
      </w:pPr>
      <w:bookmarkStart w:id="7" w:name="_Toc505246410"/>
      <w:bookmarkStart w:id="8" w:name="_Toc23837957"/>
      <w:r w:rsidRPr="00753229">
        <w:t xml:space="preserve">Table </w:t>
      </w:r>
      <w:r>
        <w:t>3.15</w:t>
      </w:r>
      <w:r w:rsidRPr="00753229">
        <w:t>-</w:t>
      </w:r>
      <w:r>
        <w:t>2</w:t>
      </w:r>
      <w:r w:rsidRPr="00753229">
        <w:tab/>
        <w:t>Intersection Level of Service Definitions</w:t>
      </w:r>
      <w:bookmarkEnd w:id="7"/>
      <w:bookmarkEnd w:id="8"/>
    </w:p>
    <w:tbl>
      <w:tblPr>
        <w:tblW w:w="10080" w:type="dxa"/>
        <w:jc w:val="center"/>
        <w:tblBorders>
          <w:top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781"/>
        <w:gridCol w:w="5969"/>
        <w:gridCol w:w="1620"/>
        <w:gridCol w:w="1710"/>
      </w:tblGrid>
      <w:tr w:rsidR="00987128" w:rsidRPr="00753229" w14:paraId="2FFE1B77" w14:textId="77777777" w:rsidTr="00987128">
        <w:trPr>
          <w:trHeight w:val="20"/>
          <w:tblHeader/>
          <w:jc w:val="center"/>
        </w:trPr>
        <w:tc>
          <w:tcPr>
            <w:tcW w:w="781" w:type="dxa"/>
            <w:tcBorders>
              <w:top w:val="single" w:sz="4" w:space="0" w:color="auto"/>
            </w:tcBorders>
            <w:shd w:val="clear" w:color="auto" w:fill="D9D9D9" w:themeFill="background1" w:themeFillShade="D9"/>
            <w:vAlign w:val="center"/>
          </w:tcPr>
          <w:p w14:paraId="2730B2AB" w14:textId="77777777" w:rsidR="00987128" w:rsidRPr="00753229" w:rsidRDefault="00987128" w:rsidP="00987128">
            <w:pPr>
              <w:pStyle w:val="TableColumn"/>
            </w:pPr>
            <w:r>
              <w:t>LOS</w:t>
            </w:r>
          </w:p>
        </w:tc>
        <w:tc>
          <w:tcPr>
            <w:tcW w:w="5969" w:type="dxa"/>
            <w:tcBorders>
              <w:top w:val="single" w:sz="4" w:space="0" w:color="auto"/>
            </w:tcBorders>
            <w:shd w:val="clear" w:color="auto" w:fill="D9D9D9" w:themeFill="background1" w:themeFillShade="D9"/>
            <w:vAlign w:val="center"/>
          </w:tcPr>
          <w:p w14:paraId="12430C5C" w14:textId="77777777" w:rsidR="00987128" w:rsidRPr="00753229" w:rsidRDefault="00987128" w:rsidP="00987128">
            <w:pPr>
              <w:pStyle w:val="TableColumn"/>
            </w:pPr>
            <w:r w:rsidRPr="00753229">
              <w:t>Description (for Signalized Intersections)</w:t>
            </w:r>
          </w:p>
        </w:tc>
        <w:tc>
          <w:tcPr>
            <w:tcW w:w="1620" w:type="dxa"/>
            <w:tcBorders>
              <w:top w:val="single" w:sz="4" w:space="0" w:color="auto"/>
            </w:tcBorders>
            <w:shd w:val="clear" w:color="auto" w:fill="D9D9D9" w:themeFill="background1" w:themeFillShade="D9"/>
            <w:vAlign w:val="center"/>
          </w:tcPr>
          <w:p w14:paraId="59AB18D9" w14:textId="6506F32A" w:rsidR="00987128" w:rsidRPr="00753229" w:rsidRDefault="00987128" w:rsidP="00987128">
            <w:pPr>
              <w:pStyle w:val="TableColumn"/>
            </w:pPr>
            <w:r w:rsidRPr="00753229">
              <w:t>Average Delay (Seconds/Vehicle)</w:t>
            </w:r>
            <w:r>
              <w:t xml:space="preserve"> </w:t>
            </w:r>
            <w:r w:rsidRPr="00753229">
              <w:t>Signalized Intersections</w:t>
            </w:r>
          </w:p>
        </w:tc>
        <w:tc>
          <w:tcPr>
            <w:tcW w:w="1710" w:type="dxa"/>
            <w:tcBorders>
              <w:top w:val="single" w:sz="4" w:space="0" w:color="auto"/>
            </w:tcBorders>
            <w:shd w:val="clear" w:color="auto" w:fill="D9D9D9" w:themeFill="background1" w:themeFillShade="D9"/>
            <w:vAlign w:val="center"/>
          </w:tcPr>
          <w:p w14:paraId="313DEEC7" w14:textId="17A7A3B1" w:rsidR="00987128" w:rsidRPr="00753229" w:rsidRDefault="00987128" w:rsidP="00987128">
            <w:pPr>
              <w:pStyle w:val="TableColumn"/>
            </w:pPr>
            <w:r w:rsidRPr="00753229">
              <w:t>Average Delay (Seconds/Vehicle)</w:t>
            </w:r>
            <w:r>
              <w:t xml:space="preserve"> </w:t>
            </w:r>
            <w:r w:rsidRPr="00753229">
              <w:t>Unsignalized Intersections</w:t>
            </w:r>
          </w:p>
        </w:tc>
      </w:tr>
      <w:tr w:rsidR="00530CBA" w:rsidRPr="00753229" w14:paraId="32B05F64" w14:textId="77777777" w:rsidTr="00987128">
        <w:trPr>
          <w:trHeight w:val="20"/>
          <w:jc w:val="center"/>
        </w:trPr>
        <w:tc>
          <w:tcPr>
            <w:tcW w:w="781" w:type="dxa"/>
            <w:vAlign w:val="center"/>
          </w:tcPr>
          <w:p w14:paraId="4F1999B6" w14:textId="77777777" w:rsidR="00530CBA" w:rsidRPr="00753229" w:rsidRDefault="00530CBA" w:rsidP="00987128">
            <w:pPr>
              <w:pStyle w:val="TableText"/>
            </w:pPr>
            <w:r w:rsidRPr="00753229">
              <w:t>A</w:t>
            </w:r>
          </w:p>
        </w:tc>
        <w:tc>
          <w:tcPr>
            <w:tcW w:w="5969" w:type="dxa"/>
            <w:vAlign w:val="center"/>
          </w:tcPr>
          <w:p w14:paraId="242AAA3E" w14:textId="77777777" w:rsidR="00530CBA" w:rsidRPr="00753229" w:rsidRDefault="00530CBA" w:rsidP="00987128">
            <w:pPr>
              <w:pStyle w:val="TableTextL"/>
            </w:pPr>
            <w:r w:rsidRPr="00753229">
              <w:t>Operations with very low delay occurring with favorable traffic signal progression and/or short cycle lengths.</w:t>
            </w:r>
          </w:p>
        </w:tc>
        <w:tc>
          <w:tcPr>
            <w:tcW w:w="1620" w:type="dxa"/>
            <w:vAlign w:val="center"/>
          </w:tcPr>
          <w:p w14:paraId="13D1DF2C" w14:textId="77777777" w:rsidR="00530CBA" w:rsidRPr="00753229" w:rsidRDefault="00530CBA" w:rsidP="00987128">
            <w:pPr>
              <w:pStyle w:val="TableText"/>
            </w:pPr>
            <w:r w:rsidRPr="00753229">
              <w:rPr>
                <w:u w:val="single"/>
              </w:rPr>
              <w:t>&lt;</w:t>
            </w:r>
            <w:r w:rsidRPr="00753229">
              <w:t xml:space="preserve"> 10.0</w:t>
            </w:r>
          </w:p>
        </w:tc>
        <w:tc>
          <w:tcPr>
            <w:tcW w:w="1710" w:type="dxa"/>
            <w:vAlign w:val="center"/>
          </w:tcPr>
          <w:p w14:paraId="756B5BDF" w14:textId="77777777" w:rsidR="00530CBA" w:rsidRPr="00753229" w:rsidRDefault="00530CBA" w:rsidP="00987128">
            <w:pPr>
              <w:pStyle w:val="TableText"/>
            </w:pPr>
            <w:r w:rsidRPr="00753229">
              <w:rPr>
                <w:u w:val="single"/>
              </w:rPr>
              <w:t>&lt;</w:t>
            </w:r>
            <w:r w:rsidRPr="00753229">
              <w:t xml:space="preserve"> 10.0</w:t>
            </w:r>
          </w:p>
        </w:tc>
      </w:tr>
      <w:tr w:rsidR="00530CBA" w:rsidRPr="00753229" w14:paraId="3481A4A8" w14:textId="77777777" w:rsidTr="00987128">
        <w:trPr>
          <w:trHeight w:val="20"/>
          <w:jc w:val="center"/>
        </w:trPr>
        <w:tc>
          <w:tcPr>
            <w:tcW w:w="781" w:type="dxa"/>
            <w:vAlign w:val="center"/>
          </w:tcPr>
          <w:p w14:paraId="33485007" w14:textId="77777777" w:rsidR="00530CBA" w:rsidRPr="00753229" w:rsidRDefault="00530CBA" w:rsidP="00987128">
            <w:pPr>
              <w:pStyle w:val="TableText"/>
            </w:pPr>
            <w:r w:rsidRPr="00753229">
              <w:t>B</w:t>
            </w:r>
          </w:p>
        </w:tc>
        <w:tc>
          <w:tcPr>
            <w:tcW w:w="5969" w:type="dxa"/>
            <w:vAlign w:val="center"/>
          </w:tcPr>
          <w:p w14:paraId="7832E811" w14:textId="77777777" w:rsidR="00530CBA" w:rsidRPr="00753229" w:rsidRDefault="00530CBA" w:rsidP="00987128">
            <w:pPr>
              <w:pStyle w:val="TableTextL"/>
            </w:pPr>
            <w:r w:rsidRPr="00753229">
              <w:t>Operations with low delay occurring with good progression and/or short cycle lengths.</w:t>
            </w:r>
          </w:p>
        </w:tc>
        <w:tc>
          <w:tcPr>
            <w:tcW w:w="1620" w:type="dxa"/>
            <w:vAlign w:val="center"/>
          </w:tcPr>
          <w:p w14:paraId="53FDD7F9" w14:textId="77777777" w:rsidR="00530CBA" w:rsidRPr="00753229" w:rsidRDefault="00530CBA" w:rsidP="00987128">
            <w:pPr>
              <w:pStyle w:val="TableText"/>
            </w:pPr>
            <w:r w:rsidRPr="00753229">
              <w:t>&gt; 10.0 to 20.0</w:t>
            </w:r>
          </w:p>
        </w:tc>
        <w:tc>
          <w:tcPr>
            <w:tcW w:w="1710" w:type="dxa"/>
            <w:vAlign w:val="center"/>
          </w:tcPr>
          <w:p w14:paraId="4C5358C7" w14:textId="77777777" w:rsidR="00530CBA" w:rsidRPr="00753229" w:rsidRDefault="00530CBA" w:rsidP="00987128">
            <w:pPr>
              <w:pStyle w:val="TableText"/>
            </w:pPr>
            <w:r w:rsidRPr="00753229">
              <w:t>&gt; 10.0 to 15.0</w:t>
            </w:r>
          </w:p>
        </w:tc>
      </w:tr>
      <w:tr w:rsidR="00530CBA" w:rsidRPr="00753229" w14:paraId="59D1B4D3" w14:textId="77777777" w:rsidTr="00987128">
        <w:trPr>
          <w:trHeight w:val="20"/>
          <w:jc w:val="center"/>
        </w:trPr>
        <w:tc>
          <w:tcPr>
            <w:tcW w:w="781" w:type="dxa"/>
            <w:tcBorders>
              <w:bottom w:val="single" w:sz="4" w:space="0" w:color="auto"/>
            </w:tcBorders>
            <w:vAlign w:val="center"/>
          </w:tcPr>
          <w:p w14:paraId="6C969D1E" w14:textId="77777777" w:rsidR="00530CBA" w:rsidRPr="00753229" w:rsidRDefault="00530CBA" w:rsidP="00987128">
            <w:pPr>
              <w:pStyle w:val="TableText"/>
            </w:pPr>
            <w:r w:rsidRPr="00753229">
              <w:t>C</w:t>
            </w:r>
          </w:p>
        </w:tc>
        <w:tc>
          <w:tcPr>
            <w:tcW w:w="5969" w:type="dxa"/>
            <w:tcBorders>
              <w:bottom w:val="single" w:sz="4" w:space="0" w:color="auto"/>
            </w:tcBorders>
            <w:vAlign w:val="center"/>
          </w:tcPr>
          <w:p w14:paraId="69166ACD" w14:textId="77777777" w:rsidR="00530CBA" w:rsidRPr="00753229" w:rsidRDefault="00530CBA" w:rsidP="00987128">
            <w:pPr>
              <w:pStyle w:val="TableTextL"/>
            </w:pPr>
            <w:r w:rsidRPr="00753229">
              <w:t>Operations with average delays resulting from fair progression and/or longer cycle lengths. Individual cycle failures begin to appear.</w:t>
            </w:r>
          </w:p>
        </w:tc>
        <w:tc>
          <w:tcPr>
            <w:tcW w:w="1620" w:type="dxa"/>
            <w:tcBorders>
              <w:bottom w:val="single" w:sz="4" w:space="0" w:color="auto"/>
            </w:tcBorders>
            <w:vAlign w:val="center"/>
          </w:tcPr>
          <w:p w14:paraId="1C0C31B0" w14:textId="77777777" w:rsidR="00530CBA" w:rsidRPr="00753229" w:rsidRDefault="00530CBA" w:rsidP="00987128">
            <w:pPr>
              <w:pStyle w:val="TableText"/>
            </w:pPr>
            <w:r w:rsidRPr="00753229">
              <w:t>&gt; 20.0 to 35.0</w:t>
            </w:r>
          </w:p>
        </w:tc>
        <w:tc>
          <w:tcPr>
            <w:tcW w:w="1710" w:type="dxa"/>
            <w:tcBorders>
              <w:bottom w:val="single" w:sz="4" w:space="0" w:color="auto"/>
            </w:tcBorders>
            <w:vAlign w:val="center"/>
          </w:tcPr>
          <w:p w14:paraId="1ADAE00B" w14:textId="77777777" w:rsidR="00530CBA" w:rsidRPr="00753229" w:rsidRDefault="00530CBA" w:rsidP="00987128">
            <w:pPr>
              <w:pStyle w:val="TableText"/>
            </w:pPr>
            <w:r w:rsidRPr="00753229">
              <w:t>&gt; 15.0 to 25.0</w:t>
            </w:r>
          </w:p>
        </w:tc>
      </w:tr>
      <w:tr w:rsidR="00530CBA" w:rsidRPr="00753229" w14:paraId="493351D3" w14:textId="77777777" w:rsidTr="00987128">
        <w:trPr>
          <w:trHeight w:val="20"/>
          <w:jc w:val="center"/>
        </w:trPr>
        <w:tc>
          <w:tcPr>
            <w:tcW w:w="781" w:type="dxa"/>
            <w:tcBorders>
              <w:bottom w:val="single" w:sz="4" w:space="0" w:color="auto"/>
            </w:tcBorders>
            <w:vAlign w:val="center"/>
          </w:tcPr>
          <w:p w14:paraId="5D12F0A5" w14:textId="77777777" w:rsidR="00530CBA" w:rsidRPr="00753229" w:rsidRDefault="00530CBA" w:rsidP="00987128">
            <w:pPr>
              <w:pStyle w:val="TableText"/>
            </w:pPr>
            <w:r w:rsidRPr="00753229">
              <w:t>D</w:t>
            </w:r>
          </w:p>
        </w:tc>
        <w:tc>
          <w:tcPr>
            <w:tcW w:w="5969" w:type="dxa"/>
            <w:tcBorders>
              <w:bottom w:val="single" w:sz="4" w:space="0" w:color="auto"/>
            </w:tcBorders>
            <w:vAlign w:val="center"/>
          </w:tcPr>
          <w:p w14:paraId="3AA6DCA8" w14:textId="77777777" w:rsidR="00530CBA" w:rsidRPr="00753229" w:rsidRDefault="00530CBA" w:rsidP="00987128">
            <w:pPr>
              <w:pStyle w:val="TableTextL"/>
            </w:pPr>
            <w:r w:rsidRPr="00753229">
              <w:t>Operations with longer delays due to a combination of unfavorable progression, long cycle lengths, or high V/C ratios. Many vehicles stop and individual cycle failures are noticeable.</w:t>
            </w:r>
          </w:p>
        </w:tc>
        <w:tc>
          <w:tcPr>
            <w:tcW w:w="1620" w:type="dxa"/>
            <w:tcBorders>
              <w:bottom w:val="single" w:sz="4" w:space="0" w:color="auto"/>
            </w:tcBorders>
            <w:vAlign w:val="center"/>
          </w:tcPr>
          <w:p w14:paraId="2E6BF665" w14:textId="77777777" w:rsidR="00530CBA" w:rsidRPr="00753229" w:rsidRDefault="00530CBA" w:rsidP="00987128">
            <w:pPr>
              <w:pStyle w:val="TableText"/>
            </w:pPr>
            <w:r w:rsidRPr="00753229">
              <w:t>&gt; 35.0 to 55.0</w:t>
            </w:r>
          </w:p>
        </w:tc>
        <w:tc>
          <w:tcPr>
            <w:tcW w:w="1710" w:type="dxa"/>
            <w:tcBorders>
              <w:bottom w:val="single" w:sz="4" w:space="0" w:color="auto"/>
            </w:tcBorders>
            <w:vAlign w:val="center"/>
          </w:tcPr>
          <w:p w14:paraId="7ED8409A" w14:textId="77777777" w:rsidR="00530CBA" w:rsidRPr="00753229" w:rsidRDefault="00530CBA" w:rsidP="00987128">
            <w:pPr>
              <w:pStyle w:val="TableText"/>
            </w:pPr>
            <w:r w:rsidRPr="00753229">
              <w:t>&gt; 25.0 to 35.0</w:t>
            </w:r>
          </w:p>
        </w:tc>
      </w:tr>
      <w:tr w:rsidR="00530CBA" w:rsidRPr="00753229" w14:paraId="671EAA15" w14:textId="77777777" w:rsidTr="00987128">
        <w:trPr>
          <w:trHeight w:val="20"/>
          <w:jc w:val="center"/>
        </w:trPr>
        <w:tc>
          <w:tcPr>
            <w:tcW w:w="781" w:type="dxa"/>
            <w:tcBorders>
              <w:top w:val="single" w:sz="4" w:space="0" w:color="auto"/>
              <w:bottom w:val="single" w:sz="4" w:space="0" w:color="auto"/>
            </w:tcBorders>
            <w:vAlign w:val="center"/>
          </w:tcPr>
          <w:p w14:paraId="50D6EB7C" w14:textId="77777777" w:rsidR="00530CBA" w:rsidRPr="00753229" w:rsidRDefault="00530CBA" w:rsidP="00987128">
            <w:pPr>
              <w:pStyle w:val="TableText"/>
              <w:keepNext/>
            </w:pPr>
            <w:r w:rsidRPr="00753229">
              <w:t>E</w:t>
            </w:r>
          </w:p>
        </w:tc>
        <w:tc>
          <w:tcPr>
            <w:tcW w:w="5969" w:type="dxa"/>
            <w:tcBorders>
              <w:top w:val="single" w:sz="4" w:space="0" w:color="auto"/>
              <w:bottom w:val="single" w:sz="4" w:space="0" w:color="auto"/>
            </w:tcBorders>
            <w:vAlign w:val="center"/>
          </w:tcPr>
          <w:p w14:paraId="6014DA19" w14:textId="77777777" w:rsidR="00530CBA" w:rsidRPr="00753229" w:rsidRDefault="00530CBA" w:rsidP="00987128">
            <w:pPr>
              <w:pStyle w:val="TableTextL"/>
            </w:pPr>
            <w:r w:rsidRPr="00753229">
              <w:t>Operations with high delay values indicating poor progression, and long cycle lengths. Individual cycle failures are frequent occurrences. This is considered to be the limit of acceptable delay.</w:t>
            </w:r>
          </w:p>
        </w:tc>
        <w:tc>
          <w:tcPr>
            <w:tcW w:w="1620" w:type="dxa"/>
            <w:tcBorders>
              <w:top w:val="single" w:sz="4" w:space="0" w:color="auto"/>
              <w:bottom w:val="single" w:sz="4" w:space="0" w:color="auto"/>
            </w:tcBorders>
            <w:vAlign w:val="center"/>
          </w:tcPr>
          <w:p w14:paraId="1AFFDA0F" w14:textId="77777777" w:rsidR="00530CBA" w:rsidRPr="00753229" w:rsidRDefault="00530CBA" w:rsidP="00987128">
            <w:pPr>
              <w:pStyle w:val="TableText"/>
            </w:pPr>
            <w:r w:rsidRPr="00753229">
              <w:t>&gt; 55.0 to 80.0</w:t>
            </w:r>
          </w:p>
        </w:tc>
        <w:tc>
          <w:tcPr>
            <w:tcW w:w="1710" w:type="dxa"/>
            <w:tcBorders>
              <w:top w:val="single" w:sz="4" w:space="0" w:color="auto"/>
              <w:bottom w:val="single" w:sz="4" w:space="0" w:color="auto"/>
            </w:tcBorders>
            <w:vAlign w:val="center"/>
          </w:tcPr>
          <w:p w14:paraId="645D3748" w14:textId="77777777" w:rsidR="00530CBA" w:rsidRPr="00753229" w:rsidRDefault="00530CBA" w:rsidP="00987128">
            <w:pPr>
              <w:pStyle w:val="TableText"/>
            </w:pPr>
            <w:r w:rsidRPr="00753229">
              <w:t>&gt; 35.0 to 50.0</w:t>
            </w:r>
          </w:p>
        </w:tc>
      </w:tr>
      <w:tr w:rsidR="00530CBA" w:rsidRPr="00753229" w14:paraId="7CE9193B" w14:textId="77777777" w:rsidTr="00987128">
        <w:trPr>
          <w:trHeight w:val="20"/>
          <w:jc w:val="center"/>
        </w:trPr>
        <w:tc>
          <w:tcPr>
            <w:tcW w:w="781" w:type="dxa"/>
            <w:tcBorders>
              <w:bottom w:val="single" w:sz="4" w:space="0" w:color="auto"/>
            </w:tcBorders>
            <w:vAlign w:val="center"/>
          </w:tcPr>
          <w:p w14:paraId="1E6FDB2C" w14:textId="77777777" w:rsidR="00530CBA" w:rsidRPr="00753229" w:rsidRDefault="00530CBA" w:rsidP="00987128">
            <w:pPr>
              <w:pStyle w:val="TableText"/>
            </w:pPr>
            <w:r w:rsidRPr="00753229">
              <w:t>F</w:t>
            </w:r>
          </w:p>
        </w:tc>
        <w:tc>
          <w:tcPr>
            <w:tcW w:w="5969" w:type="dxa"/>
            <w:tcBorders>
              <w:bottom w:val="single" w:sz="4" w:space="0" w:color="auto"/>
            </w:tcBorders>
            <w:vAlign w:val="center"/>
          </w:tcPr>
          <w:p w14:paraId="4437DDE8" w14:textId="77777777" w:rsidR="00530CBA" w:rsidRPr="00753229" w:rsidRDefault="00530CBA" w:rsidP="00987128">
            <w:pPr>
              <w:pStyle w:val="TableTextL"/>
            </w:pPr>
            <w:r w:rsidRPr="00753229">
              <w:t>Operations with delays unacceptable to most drivers occurring due to over-saturation, poor progression, or very long cycle lengths.</w:t>
            </w:r>
          </w:p>
        </w:tc>
        <w:tc>
          <w:tcPr>
            <w:tcW w:w="1620" w:type="dxa"/>
            <w:tcBorders>
              <w:bottom w:val="single" w:sz="4" w:space="0" w:color="auto"/>
            </w:tcBorders>
            <w:vAlign w:val="center"/>
          </w:tcPr>
          <w:p w14:paraId="2E48EC97" w14:textId="77777777" w:rsidR="00530CBA" w:rsidRPr="00753229" w:rsidRDefault="00530CBA" w:rsidP="00987128">
            <w:pPr>
              <w:pStyle w:val="TableText"/>
            </w:pPr>
            <w:r w:rsidRPr="00753229">
              <w:t>&gt; 80.0</w:t>
            </w:r>
          </w:p>
        </w:tc>
        <w:tc>
          <w:tcPr>
            <w:tcW w:w="1710" w:type="dxa"/>
            <w:tcBorders>
              <w:bottom w:val="single" w:sz="4" w:space="0" w:color="auto"/>
            </w:tcBorders>
            <w:vAlign w:val="center"/>
          </w:tcPr>
          <w:p w14:paraId="3EA9387E" w14:textId="77777777" w:rsidR="00530CBA" w:rsidRPr="00753229" w:rsidRDefault="00530CBA" w:rsidP="00987128">
            <w:pPr>
              <w:pStyle w:val="TableText"/>
            </w:pPr>
            <w:r w:rsidRPr="00753229">
              <w:t>&gt; 50.0</w:t>
            </w:r>
          </w:p>
        </w:tc>
      </w:tr>
    </w:tbl>
    <w:p w14:paraId="69250D99" w14:textId="77777777" w:rsidR="00987128" w:rsidRPr="009061BE" w:rsidRDefault="00987128" w:rsidP="00987128">
      <w:pPr>
        <w:pStyle w:val="TableSource"/>
      </w:pPr>
      <w:r w:rsidRPr="009061BE">
        <w:t>Note: LOS = level of service; V/C ratio= volume-to-capacity ratio</w:t>
      </w:r>
    </w:p>
    <w:p w14:paraId="4D87A12A" w14:textId="77777777" w:rsidR="00987128" w:rsidRPr="009061BE" w:rsidRDefault="00987128" w:rsidP="00987128">
      <w:pPr>
        <w:pStyle w:val="TableSource"/>
      </w:pPr>
      <w:r w:rsidRPr="009061BE">
        <w:t xml:space="preserve">LOS at signalized intersections and roundabouts based on average delay for all vehicles. LOS at unsignalized intersections is reported for entire intersection and for minor street movement with greatest delay. </w:t>
      </w:r>
    </w:p>
    <w:p w14:paraId="673EA864" w14:textId="77777777" w:rsidR="00987128" w:rsidRPr="009061BE" w:rsidRDefault="00987128" w:rsidP="00987128">
      <w:pPr>
        <w:pStyle w:val="TableSource"/>
      </w:pPr>
      <w:r w:rsidRPr="009061BE">
        <w:t xml:space="preserve">Source: </w:t>
      </w:r>
      <w:bookmarkStart w:id="9" w:name="_Hlk8200661"/>
      <w:r w:rsidRPr="009061BE">
        <w:t>Transportation Research Board 201</w:t>
      </w:r>
      <w:bookmarkEnd w:id="9"/>
      <w:r>
        <w:t>6</w:t>
      </w:r>
    </w:p>
    <w:p w14:paraId="6E389106" w14:textId="624B30F8" w:rsidR="00784DC4" w:rsidRDefault="008F5E10" w:rsidP="009027DD">
      <w:pPr>
        <w:pStyle w:val="BodyText12ptbefore"/>
      </w:pPr>
      <w:r>
        <w:t>Tables 3.15-</w:t>
      </w:r>
      <w:r w:rsidR="00530CBA">
        <w:t>3</w:t>
      </w:r>
      <w:r>
        <w:t xml:space="preserve"> </w:t>
      </w:r>
      <w:r w:rsidR="005C694E">
        <w:t xml:space="preserve">shows the generalized </w:t>
      </w:r>
      <w:r w:rsidR="00784DC4">
        <w:t>service volumes which denote the maximum values that can be maintained and still be within the LOS range, or the maximum volumes that can be achieved for that LOS category.</w:t>
      </w:r>
      <w:r w:rsidR="00E953F6">
        <w:t xml:space="preserve"> </w:t>
      </w:r>
      <w:r w:rsidR="00784DC4">
        <w:t xml:space="preserve">The simplified and generalized roadway segment LOS criteria shown </w:t>
      </w:r>
      <w:r w:rsidR="00530CBA">
        <w:t xml:space="preserve">is </w:t>
      </w:r>
      <w:r w:rsidR="00784DC4">
        <w:t xml:space="preserve">for rural two-lane highways </w:t>
      </w:r>
      <w:r w:rsidR="00530CBA">
        <w:t>which</w:t>
      </w:r>
      <w:r w:rsidR="00784DC4">
        <w:t xml:space="preserve"> would be the primary road type that would provide access to and within </w:t>
      </w:r>
      <w:r w:rsidR="006844F1">
        <w:t>treatment areas</w:t>
      </w:r>
      <w:r w:rsidR="00784DC4">
        <w:t xml:space="preserve">. </w:t>
      </w:r>
      <w:r w:rsidR="00E953F6" w:rsidRPr="00B813F6">
        <w:t>LOS for rural highways is largely determined by roadway geometry factors, such as grades, vertical and horizontal curves, and the presence of passing opportunities. In mountainous topography and particularly through canyons, roadway LOS can be relatively poor, even absent substantial traffic volumes</w:t>
      </w:r>
      <w:r w:rsidR="00E953F6">
        <w:t>.</w:t>
      </w:r>
      <w:r w:rsidR="00784DC4">
        <w:t xml:space="preserve"> </w:t>
      </w:r>
      <w:r w:rsidR="00871319">
        <w:t>The volume thresholds apply to one direction of travel; and thus, for roadways that are bi-directional, average</w:t>
      </w:r>
      <w:r w:rsidR="00376F71">
        <w:t xml:space="preserve"> annual</w:t>
      </w:r>
      <w:r w:rsidR="00871319">
        <w:t xml:space="preserve"> daily traffic should be divided by two. </w:t>
      </w:r>
    </w:p>
    <w:p w14:paraId="1F60DEAC" w14:textId="77777777" w:rsidR="00D27BB9" w:rsidRDefault="00D27BB9">
      <w:r>
        <w:rPr>
          <w:bCs/>
        </w:rPr>
        <w:br w:type="page"/>
      </w:r>
    </w:p>
    <w:p w14:paraId="1F0F45B1" w14:textId="77777777" w:rsidR="00987128" w:rsidRDefault="00987128" w:rsidP="00CB7B35">
      <w:pPr>
        <w:pStyle w:val="TableHeader"/>
      </w:pPr>
      <w:bookmarkStart w:id="10" w:name="_Toc23837958"/>
      <w:r w:rsidRPr="00530CBA">
        <w:lastRenderedPageBreak/>
        <w:t>Table 3.15-3</w:t>
      </w:r>
      <w:r>
        <w:tab/>
        <w:t>Rural Two-Lane Highway Level of Service Thresholds</w:t>
      </w:r>
      <w:bookmarkEnd w:id="10"/>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3510"/>
        <w:gridCol w:w="2160"/>
        <w:gridCol w:w="1941"/>
        <w:gridCol w:w="2469"/>
      </w:tblGrid>
      <w:tr w:rsidR="008B05D3" w14:paraId="7A43C91B" w14:textId="77777777" w:rsidTr="00987128">
        <w:trPr>
          <w:tblHeader/>
          <w:jc w:val="center"/>
        </w:trPr>
        <w:tc>
          <w:tcPr>
            <w:tcW w:w="3510" w:type="dxa"/>
            <w:tcBorders>
              <w:top w:val="single" w:sz="4" w:space="0" w:color="auto"/>
            </w:tcBorders>
            <w:shd w:val="clear" w:color="auto" w:fill="D9D9D9" w:themeFill="background1" w:themeFillShade="D9"/>
            <w:vAlign w:val="center"/>
          </w:tcPr>
          <w:p w14:paraId="498BA2AD" w14:textId="2877E2F6" w:rsidR="008B05D3" w:rsidRDefault="00987128" w:rsidP="00CB7B35">
            <w:pPr>
              <w:pStyle w:val="TableColumn"/>
            </w:pPr>
            <w:r>
              <w:t>Speed Limit (mph)</w:t>
            </w:r>
          </w:p>
        </w:tc>
        <w:tc>
          <w:tcPr>
            <w:tcW w:w="2160" w:type="dxa"/>
            <w:tcBorders>
              <w:top w:val="single" w:sz="4" w:space="0" w:color="auto"/>
            </w:tcBorders>
            <w:shd w:val="clear" w:color="auto" w:fill="D9D9D9" w:themeFill="background1" w:themeFillShade="D9"/>
            <w:vAlign w:val="center"/>
          </w:tcPr>
          <w:p w14:paraId="6B9E3FF6" w14:textId="2E40F6C0" w:rsidR="008B05D3" w:rsidRDefault="00987128" w:rsidP="00CB7B35">
            <w:pPr>
              <w:pStyle w:val="TableColumn"/>
            </w:pPr>
            <w:r w:rsidRPr="008B05D3">
              <w:t>Upper Limit Daily Traffic Volume Threshold</w:t>
            </w:r>
            <w:r w:rsidRPr="008B05D3">
              <w:rPr>
                <w:vertAlign w:val="superscript"/>
              </w:rPr>
              <w:t>1,2</w:t>
            </w:r>
            <w:r>
              <w:rPr>
                <w:vertAlign w:val="superscript"/>
              </w:rPr>
              <w:t xml:space="preserve"> </w:t>
            </w:r>
            <w:r w:rsidR="008B05D3">
              <w:t>LOS B</w:t>
            </w:r>
          </w:p>
        </w:tc>
        <w:tc>
          <w:tcPr>
            <w:tcW w:w="1941" w:type="dxa"/>
            <w:tcBorders>
              <w:top w:val="single" w:sz="4" w:space="0" w:color="auto"/>
            </w:tcBorders>
            <w:shd w:val="clear" w:color="auto" w:fill="D9D9D9" w:themeFill="background1" w:themeFillShade="D9"/>
            <w:vAlign w:val="center"/>
          </w:tcPr>
          <w:p w14:paraId="3108BD33" w14:textId="75F74CFC" w:rsidR="008B05D3" w:rsidRDefault="00987128" w:rsidP="00CB7B35">
            <w:pPr>
              <w:pStyle w:val="TableColumn"/>
            </w:pPr>
            <w:r w:rsidRPr="008B05D3">
              <w:t>Upper Limit Daily Traffic Volume Threshold</w:t>
            </w:r>
            <w:r w:rsidRPr="008B05D3">
              <w:rPr>
                <w:vertAlign w:val="superscript"/>
              </w:rPr>
              <w:t>1,2</w:t>
            </w:r>
            <w:r>
              <w:rPr>
                <w:vertAlign w:val="superscript"/>
              </w:rPr>
              <w:t xml:space="preserve"> </w:t>
            </w:r>
            <w:r w:rsidR="008B05D3">
              <w:t>LOS C</w:t>
            </w:r>
          </w:p>
        </w:tc>
        <w:tc>
          <w:tcPr>
            <w:tcW w:w="2469" w:type="dxa"/>
            <w:tcBorders>
              <w:top w:val="single" w:sz="4" w:space="0" w:color="auto"/>
            </w:tcBorders>
            <w:shd w:val="clear" w:color="auto" w:fill="D9D9D9" w:themeFill="background1" w:themeFillShade="D9"/>
            <w:vAlign w:val="center"/>
          </w:tcPr>
          <w:p w14:paraId="7072AC2A" w14:textId="68E4DC53" w:rsidR="008B05D3" w:rsidRDefault="00987128" w:rsidP="00CB7B35">
            <w:pPr>
              <w:pStyle w:val="TableColumn"/>
            </w:pPr>
            <w:r w:rsidRPr="008B05D3">
              <w:t>Upper Limit Daily Traffic Volume Threshold</w:t>
            </w:r>
            <w:r w:rsidRPr="008B05D3">
              <w:rPr>
                <w:vertAlign w:val="superscript"/>
              </w:rPr>
              <w:t>1,2</w:t>
            </w:r>
            <w:r>
              <w:rPr>
                <w:vertAlign w:val="superscript"/>
              </w:rPr>
              <w:t xml:space="preserve"> </w:t>
            </w:r>
            <w:r w:rsidR="008B05D3">
              <w:t>LOS D</w:t>
            </w:r>
          </w:p>
        </w:tc>
      </w:tr>
      <w:tr w:rsidR="008B05D3" w14:paraId="5FA9C60B" w14:textId="77777777" w:rsidTr="00987128">
        <w:trPr>
          <w:jc w:val="center"/>
        </w:trPr>
        <w:tc>
          <w:tcPr>
            <w:tcW w:w="3510" w:type="dxa"/>
          </w:tcPr>
          <w:p w14:paraId="7868400F" w14:textId="0D2D514C" w:rsidR="008B05D3" w:rsidRDefault="008B05D3" w:rsidP="00CB7B35">
            <w:pPr>
              <w:pStyle w:val="TableText"/>
            </w:pPr>
            <w:r>
              <w:t>45</w:t>
            </w:r>
          </w:p>
        </w:tc>
        <w:tc>
          <w:tcPr>
            <w:tcW w:w="2160" w:type="dxa"/>
            <w:vAlign w:val="center"/>
          </w:tcPr>
          <w:p w14:paraId="740FDC3E" w14:textId="47A3A1EF" w:rsidR="008B05D3" w:rsidRDefault="008B05D3" w:rsidP="00CB7B35">
            <w:pPr>
              <w:pStyle w:val="TableText"/>
            </w:pPr>
            <w:r>
              <w:t>3,</w:t>
            </w:r>
            <w:r w:rsidR="00E953F6">
              <w:t>2</w:t>
            </w:r>
            <w:r>
              <w:t>00</w:t>
            </w:r>
          </w:p>
        </w:tc>
        <w:tc>
          <w:tcPr>
            <w:tcW w:w="1941" w:type="dxa"/>
            <w:vAlign w:val="center"/>
          </w:tcPr>
          <w:p w14:paraId="1F812CC3" w14:textId="538106E6" w:rsidR="008B05D3" w:rsidRDefault="00E953F6" w:rsidP="00CB7B35">
            <w:pPr>
              <w:pStyle w:val="TableText"/>
            </w:pPr>
            <w:r>
              <w:t>7,7</w:t>
            </w:r>
            <w:r w:rsidR="008B05D3">
              <w:t>00</w:t>
            </w:r>
          </w:p>
        </w:tc>
        <w:tc>
          <w:tcPr>
            <w:tcW w:w="2469" w:type="dxa"/>
            <w:vAlign w:val="center"/>
          </w:tcPr>
          <w:p w14:paraId="23E69333" w14:textId="35BA2B7F" w:rsidR="008B05D3" w:rsidRDefault="00E953F6" w:rsidP="00CB7B35">
            <w:pPr>
              <w:pStyle w:val="TableText"/>
            </w:pPr>
            <w:r>
              <w:t>12,3</w:t>
            </w:r>
            <w:r w:rsidR="008B05D3">
              <w:t>00</w:t>
            </w:r>
          </w:p>
        </w:tc>
      </w:tr>
      <w:tr w:rsidR="00E953F6" w14:paraId="1FC5D037" w14:textId="77777777" w:rsidTr="00987128">
        <w:trPr>
          <w:trHeight w:val="352"/>
          <w:jc w:val="center"/>
        </w:trPr>
        <w:tc>
          <w:tcPr>
            <w:tcW w:w="3510" w:type="dxa"/>
          </w:tcPr>
          <w:p w14:paraId="48B92362" w14:textId="40ED826F" w:rsidR="00E953F6" w:rsidRDefault="00E953F6" w:rsidP="00E953F6">
            <w:pPr>
              <w:pStyle w:val="TableText"/>
            </w:pPr>
            <w:r>
              <w:t>50</w:t>
            </w:r>
          </w:p>
        </w:tc>
        <w:tc>
          <w:tcPr>
            <w:tcW w:w="2160" w:type="dxa"/>
            <w:vAlign w:val="center"/>
          </w:tcPr>
          <w:p w14:paraId="6D71BA33" w14:textId="7218B201" w:rsidR="00E953F6" w:rsidRDefault="00E953F6" w:rsidP="00E953F6">
            <w:pPr>
              <w:pStyle w:val="TableText"/>
            </w:pPr>
            <w:r>
              <w:t>7,700</w:t>
            </w:r>
          </w:p>
        </w:tc>
        <w:tc>
          <w:tcPr>
            <w:tcW w:w="1941" w:type="dxa"/>
            <w:vAlign w:val="center"/>
          </w:tcPr>
          <w:p w14:paraId="3F011623" w14:textId="01A2F91E" w:rsidR="00E953F6" w:rsidRDefault="00E953F6" w:rsidP="00E953F6">
            <w:pPr>
              <w:pStyle w:val="TableText"/>
            </w:pPr>
            <w:r>
              <w:t>12,300</w:t>
            </w:r>
          </w:p>
        </w:tc>
        <w:tc>
          <w:tcPr>
            <w:tcW w:w="2469" w:type="dxa"/>
            <w:vAlign w:val="center"/>
          </w:tcPr>
          <w:p w14:paraId="4FCA5258" w14:textId="2A471DF3" w:rsidR="00E953F6" w:rsidRDefault="00E953F6" w:rsidP="00E953F6">
            <w:pPr>
              <w:pStyle w:val="TableText"/>
            </w:pPr>
            <w:r>
              <w:t>16,900</w:t>
            </w:r>
          </w:p>
        </w:tc>
      </w:tr>
      <w:tr w:rsidR="00E953F6" w:rsidRPr="00E8552F" w14:paraId="6999D197" w14:textId="77777777" w:rsidTr="00987128">
        <w:trPr>
          <w:jc w:val="center"/>
        </w:trPr>
        <w:tc>
          <w:tcPr>
            <w:tcW w:w="3510" w:type="dxa"/>
          </w:tcPr>
          <w:p w14:paraId="3AC4D2A6" w14:textId="175BBD5C" w:rsidR="00E953F6" w:rsidRPr="00E8552F" w:rsidRDefault="00E953F6" w:rsidP="00E953F6">
            <w:pPr>
              <w:pStyle w:val="TableText"/>
            </w:pPr>
            <w:r>
              <w:t>55</w:t>
            </w:r>
          </w:p>
        </w:tc>
        <w:tc>
          <w:tcPr>
            <w:tcW w:w="2160" w:type="dxa"/>
            <w:vAlign w:val="center"/>
          </w:tcPr>
          <w:p w14:paraId="344638FC" w14:textId="642AEB48" w:rsidR="00E953F6" w:rsidRPr="00E8552F" w:rsidRDefault="00E953F6" w:rsidP="00E953F6">
            <w:pPr>
              <w:pStyle w:val="TableText"/>
            </w:pPr>
            <w:r>
              <w:t>12,300</w:t>
            </w:r>
          </w:p>
        </w:tc>
        <w:tc>
          <w:tcPr>
            <w:tcW w:w="1941" w:type="dxa"/>
            <w:vAlign w:val="center"/>
          </w:tcPr>
          <w:p w14:paraId="0504FC6F" w14:textId="5D910B03" w:rsidR="00E953F6" w:rsidRPr="00E8552F" w:rsidRDefault="00E953F6" w:rsidP="00E953F6">
            <w:pPr>
              <w:pStyle w:val="TableText"/>
            </w:pPr>
            <w:r>
              <w:t>16,900</w:t>
            </w:r>
          </w:p>
        </w:tc>
        <w:tc>
          <w:tcPr>
            <w:tcW w:w="2469" w:type="dxa"/>
            <w:vAlign w:val="center"/>
          </w:tcPr>
          <w:p w14:paraId="719B3053" w14:textId="5592D3AC" w:rsidR="00E953F6" w:rsidRPr="00E8552F" w:rsidRDefault="00E953F6" w:rsidP="00E953F6">
            <w:pPr>
              <w:pStyle w:val="TableText"/>
            </w:pPr>
            <w:r>
              <w:t>21,500</w:t>
            </w:r>
          </w:p>
        </w:tc>
      </w:tr>
      <w:tr w:rsidR="00E953F6" w:rsidRPr="00E8552F" w14:paraId="1283D03D" w14:textId="77777777" w:rsidTr="00987128">
        <w:trPr>
          <w:jc w:val="center"/>
        </w:trPr>
        <w:tc>
          <w:tcPr>
            <w:tcW w:w="3510" w:type="dxa"/>
            <w:tcBorders>
              <w:bottom w:val="single" w:sz="4" w:space="0" w:color="auto"/>
            </w:tcBorders>
          </w:tcPr>
          <w:p w14:paraId="21830D7A" w14:textId="3CC72A76" w:rsidR="00E953F6" w:rsidRDefault="00E953F6" w:rsidP="00E953F6">
            <w:pPr>
              <w:pStyle w:val="TableText"/>
            </w:pPr>
            <w:r>
              <w:t>60</w:t>
            </w:r>
          </w:p>
        </w:tc>
        <w:tc>
          <w:tcPr>
            <w:tcW w:w="2160" w:type="dxa"/>
            <w:tcBorders>
              <w:bottom w:val="single" w:sz="4" w:space="0" w:color="auto"/>
            </w:tcBorders>
            <w:vAlign w:val="center"/>
          </w:tcPr>
          <w:p w14:paraId="5787EA17" w14:textId="2AF1DA4D" w:rsidR="00E953F6" w:rsidRPr="00E8552F" w:rsidRDefault="00E953F6" w:rsidP="00E953F6">
            <w:pPr>
              <w:pStyle w:val="TableText"/>
            </w:pPr>
            <w:r>
              <w:t>16,900</w:t>
            </w:r>
          </w:p>
        </w:tc>
        <w:tc>
          <w:tcPr>
            <w:tcW w:w="1941" w:type="dxa"/>
            <w:tcBorders>
              <w:bottom w:val="single" w:sz="4" w:space="0" w:color="auto"/>
            </w:tcBorders>
            <w:vAlign w:val="center"/>
          </w:tcPr>
          <w:p w14:paraId="142C6AE5" w14:textId="1B50809C" w:rsidR="00E953F6" w:rsidRPr="00E8552F" w:rsidRDefault="00E953F6" w:rsidP="00E953F6">
            <w:pPr>
              <w:pStyle w:val="TableText"/>
            </w:pPr>
            <w:r>
              <w:t>21,500</w:t>
            </w:r>
          </w:p>
        </w:tc>
        <w:tc>
          <w:tcPr>
            <w:tcW w:w="2469" w:type="dxa"/>
            <w:tcBorders>
              <w:bottom w:val="single" w:sz="4" w:space="0" w:color="auto"/>
            </w:tcBorders>
          </w:tcPr>
          <w:p w14:paraId="2EFF4842" w14:textId="5C22DE40" w:rsidR="00E953F6" w:rsidRPr="00E8552F" w:rsidRDefault="00E953F6" w:rsidP="00E953F6">
            <w:pPr>
              <w:pStyle w:val="TableText"/>
            </w:pPr>
            <w:r>
              <w:t>26,100</w:t>
            </w:r>
          </w:p>
        </w:tc>
      </w:tr>
      <w:tr w:rsidR="00E953F6" w:rsidRPr="00E8552F" w14:paraId="2A936A1F" w14:textId="77777777" w:rsidTr="00987128">
        <w:trPr>
          <w:jc w:val="center"/>
        </w:trPr>
        <w:tc>
          <w:tcPr>
            <w:tcW w:w="3510" w:type="dxa"/>
            <w:tcBorders>
              <w:top w:val="single" w:sz="4" w:space="0" w:color="auto"/>
              <w:bottom w:val="single" w:sz="4" w:space="0" w:color="auto"/>
            </w:tcBorders>
          </w:tcPr>
          <w:p w14:paraId="4630BECA" w14:textId="277D3F11" w:rsidR="00E953F6" w:rsidRDefault="00E953F6" w:rsidP="00E953F6">
            <w:pPr>
              <w:pStyle w:val="TableText"/>
            </w:pPr>
            <w:r>
              <w:t>65</w:t>
            </w:r>
          </w:p>
        </w:tc>
        <w:tc>
          <w:tcPr>
            <w:tcW w:w="2160" w:type="dxa"/>
            <w:tcBorders>
              <w:top w:val="single" w:sz="4" w:space="0" w:color="auto"/>
              <w:bottom w:val="single" w:sz="4" w:space="0" w:color="auto"/>
            </w:tcBorders>
            <w:vAlign w:val="center"/>
          </w:tcPr>
          <w:p w14:paraId="390D6297" w14:textId="69C5F033" w:rsidR="00E953F6" w:rsidRPr="00E8552F" w:rsidRDefault="00E953F6" w:rsidP="00E953F6">
            <w:pPr>
              <w:pStyle w:val="TableText"/>
            </w:pPr>
            <w:r>
              <w:t>21,500</w:t>
            </w:r>
          </w:p>
        </w:tc>
        <w:tc>
          <w:tcPr>
            <w:tcW w:w="1941" w:type="dxa"/>
            <w:tcBorders>
              <w:top w:val="single" w:sz="4" w:space="0" w:color="auto"/>
              <w:bottom w:val="single" w:sz="4" w:space="0" w:color="auto"/>
            </w:tcBorders>
          </w:tcPr>
          <w:p w14:paraId="518C058F" w14:textId="699CCA9D" w:rsidR="00E953F6" w:rsidRPr="00E8552F" w:rsidRDefault="00E953F6" w:rsidP="00E953F6">
            <w:pPr>
              <w:pStyle w:val="TableText"/>
            </w:pPr>
            <w:r>
              <w:t>26,100</w:t>
            </w:r>
          </w:p>
        </w:tc>
        <w:tc>
          <w:tcPr>
            <w:tcW w:w="2469" w:type="dxa"/>
            <w:tcBorders>
              <w:top w:val="single" w:sz="4" w:space="0" w:color="auto"/>
              <w:bottom w:val="single" w:sz="4" w:space="0" w:color="auto"/>
            </w:tcBorders>
          </w:tcPr>
          <w:p w14:paraId="2F56A8B8" w14:textId="0A3169BC" w:rsidR="00E953F6" w:rsidRPr="00E8552F" w:rsidRDefault="00E953F6" w:rsidP="00E953F6">
            <w:pPr>
              <w:pStyle w:val="TableText"/>
            </w:pPr>
            <w:r>
              <w:t>30,700</w:t>
            </w:r>
          </w:p>
        </w:tc>
      </w:tr>
    </w:tbl>
    <w:p w14:paraId="3B5D3A8A" w14:textId="77777777" w:rsidR="00987128" w:rsidRDefault="00987128" w:rsidP="000903E4">
      <w:pPr>
        <w:pStyle w:val="TableSource"/>
        <w:spacing w:after="60"/>
      </w:pPr>
      <w:r w:rsidRPr="00E8552F">
        <w:t xml:space="preserve">Notes: </w:t>
      </w:r>
      <w:r>
        <w:t xml:space="preserve">mph = miles per hour; LOS = Level of Service. </w:t>
      </w:r>
    </w:p>
    <w:p w14:paraId="029B97A7" w14:textId="66C93EDB" w:rsidR="00987128" w:rsidRDefault="00987128" w:rsidP="00987128">
      <w:pPr>
        <w:pStyle w:val="TableSource"/>
        <w:spacing w:after="60"/>
        <w:ind w:left="180" w:hanging="180"/>
      </w:pPr>
      <w:r>
        <w:rPr>
          <w:vertAlign w:val="superscript"/>
        </w:rPr>
        <w:t>1.</w:t>
      </w:r>
      <w:r>
        <w:rPr>
          <w:vertAlign w:val="superscript"/>
        </w:rPr>
        <w:tab/>
      </w:r>
      <w:r>
        <w:t>Assumes a truck percentage of 2 percent</w:t>
      </w:r>
    </w:p>
    <w:p w14:paraId="26159B24" w14:textId="69C41A90" w:rsidR="00987128" w:rsidRPr="008B05D3" w:rsidRDefault="00987128" w:rsidP="00987128">
      <w:pPr>
        <w:pStyle w:val="TableSource"/>
        <w:spacing w:after="60"/>
        <w:ind w:left="180" w:hanging="180"/>
      </w:pPr>
      <w:r>
        <w:rPr>
          <w:vertAlign w:val="superscript"/>
        </w:rPr>
        <w:t>2.</w:t>
      </w:r>
      <w:r>
        <w:rPr>
          <w:vertAlign w:val="superscript"/>
        </w:rPr>
        <w:tab/>
      </w:r>
      <w:r>
        <w:t>Assumes mountainous terrain</w:t>
      </w:r>
    </w:p>
    <w:p w14:paraId="25ED73C5" w14:textId="77777777" w:rsidR="00987128" w:rsidRPr="00E8552F" w:rsidRDefault="00987128" w:rsidP="00E953F6">
      <w:pPr>
        <w:pStyle w:val="TableSource"/>
      </w:pPr>
      <w:r w:rsidRPr="00E8552F">
        <w:t xml:space="preserve">Source: </w:t>
      </w:r>
      <w:bookmarkStart w:id="11" w:name="_Hlk8200651"/>
      <w:r>
        <w:t>FHWA 2017</w:t>
      </w:r>
      <w:bookmarkEnd w:id="11"/>
    </w:p>
    <w:p w14:paraId="777E035B" w14:textId="77777777" w:rsidR="00B60908" w:rsidRDefault="00B60908" w:rsidP="007E6B52">
      <w:pPr>
        <w:pStyle w:val="Heading4"/>
      </w:pPr>
      <w:r>
        <w:t>Public Transit</w:t>
      </w:r>
    </w:p>
    <w:p w14:paraId="3853B312" w14:textId="3C90ABA6" w:rsidR="00B60908" w:rsidRDefault="00B60908" w:rsidP="006C09E9">
      <w:pPr>
        <w:pStyle w:val="BodyText"/>
      </w:pPr>
      <w:r>
        <w:t>Public transit service is provided by various agencies throughout the state. Local and regional transit organizations offer a variety of transit options, including buses, subways, and light rail. Service is provided with varying frequency and cost. D</w:t>
      </w:r>
      <w:r w:rsidRPr="00561987">
        <w:rPr>
          <w:spacing w:val="-2"/>
        </w:rPr>
        <w:t>ue to the</w:t>
      </w:r>
      <w:r>
        <w:rPr>
          <w:spacing w:val="-2"/>
        </w:rPr>
        <w:t xml:space="preserve"> rural and remote</w:t>
      </w:r>
      <w:r w:rsidRPr="00561987">
        <w:rPr>
          <w:spacing w:val="-2"/>
        </w:rPr>
        <w:t xml:space="preserve"> character of much of the transportation network within the </w:t>
      </w:r>
      <w:r>
        <w:rPr>
          <w:spacing w:val="-2"/>
        </w:rPr>
        <w:t>treatable landscape</w:t>
      </w:r>
      <w:r w:rsidRPr="00561987">
        <w:rPr>
          <w:spacing w:val="-2"/>
        </w:rPr>
        <w:t xml:space="preserve">, </w:t>
      </w:r>
      <w:r>
        <w:t>transit service and facilities are likely to be intermittent or absent in many locations within the treatable landscape.</w:t>
      </w:r>
    </w:p>
    <w:p w14:paraId="7E097A80" w14:textId="77777777" w:rsidR="00B60908" w:rsidRDefault="00B60908" w:rsidP="007E6B52">
      <w:pPr>
        <w:pStyle w:val="Heading4"/>
      </w:pPr>
      <w:r>
        <w:t>Bikeways and Pedestrian Circulation</w:t>
      </w:r>
    </w:p>
    <w:p w14:paraId="4CAD6CD9" w14:textId="15B7D1A0" w:rsidR="00B60908" w:rsidRDefault="00B60908" w:rsidP="006C09E9">
      <w:pPr>
        <w:pStyle w:val="BodyText"/>
      </w:pPr>
      <w:r>
        <w:t xml:space="preserve">The bicycle and pedestrian network and the applicable plans, policies, and standards are highly variable across regional and local agencies within California. However, agencies typically conform to the </w:t>
      </w:r>
      <w:bookmarkStart w:id="12" w:name="_Hlk4512035"/>
      <w:r>
        <w:t>Caltrans</w:t>
      </w:r>
      <w:bookmarkEnd w:id="12"/>
      <w:r>
        <w:t xml:space="preserve"> Highway Design Manual bikeway facility classification system, described as follows:</w:t>
      </w:r>
    </w:p>
    <w:p w14:paraId="34358D7C" w14:textId="77777777" w:rsidR="00B60908" w:rsidRDefault="00B60908" w:rsidP="00B60908">
      <w:pPr>
        <w:pStyle w:val="Bullet1"/>
      </w:pPr>
      <w:r w:rsidRPr="00412A11">
        <w:rPr>
          <w:b/>
        </w:rPr>
        <w:t>Class I bikeways</w:t>
      </w:r>
      <w:r>
        <w:t xml:space="preserve"> are facilities with exclusive right-of-way for bicyclists and pedestrians, away from the roadway and with cross flows by motor traffic minimized. In some areas, pedestrian facilities are separated from the bikeway. </w:t>
      </w:r>
    </w:p>
    <w:p w14:paraId="0581A0EC" w14:textId="77777777" w:rsidR="00B60908" w:rsidRDefault="00B60908" w:rsidP="00B60908">
      <w:pPr>
        <w:pStyle w:val="Bullet1"/>
      </w:pPr>
      <w:r w:rsidRPr="009F15C6">
        <w:rPr>
          <w:b/>
        </w:rPr>
        <w:t>Class II bikeways</w:t>
      </w:r>
      <w:r>
        <w:t xml:space="preserve"> are bike lanes established along streets and are defined by pavement striping and signage to delineate a portion of a roadway for bicycle travel. </w:t>
      </w:r>
    </w:p>
    <w:p w14:paraId="0F2AC96D" w14:textId="53D941B3" w:rsidR="00B60908" w:rsidRDefault="00B60908" w:rsidP="00B60908">
      <w:pPr>
        <w:pStyle w:val="Bullet1"/>
      </w:pPr>
      <w:r>
        <w:rPr>
          <w:b/>
        </w:rPr>
        <w:t xml:space="preserve">Class III bikeways </w:t>
      </w:r>
      <w:r>
        <w:t xml:space="preserve">are shared routes for bicyclists on streets with motor traffic not served by dedicated bikeways to provide continuity to the bikeway network. </w:t>
      </w:r>
    </w:p>
    <w:p w14:paraId="0749A65C" w14:textId="77777777" w:rsidR="007E6B52" w:rsidRDefault="007E6B52" w:rsidP="007E6B52">
      <w:pPr>
        <w:pStyle w:val="Heading4"/>
      </w:pPr>
      <w:bookmarkStart w:id="13" w:name="_Hlk6129327"/>
      <w:r>
        <w:t>Past and Current Vegetation Treatments and Wildfire</w:t>
      </w:r>
      <w:bookmarkEnd w:id="13"/>
    </w:p>
    <w:p w14:paraId="3DC376F3" w14:textId="153E0A21" w:rsidR="00E9652E" w:rsidRDefault="007E6B52" w:rsidP="00A621B2">
      <w:pPr>
        <w:pStyle w:val="BodyText"/>
      </w:pPr>
      <w:r>
        <w:t xml:space="preserve">Treatments occur </w:t>
      </w:r>
      <w:r w:rsidR="006C0485">
        <w:t xml:space="preserve">within </w:t>
      </w:r>
      <w:r>
        <w:t xml:space="preserve">the treatable landscape that result in temporary increases in traffic. </w:t>
      </w:r>
      <w:bookmarkStart w:id="14" w:name="_Hlk6761189"/>
      <w:r w:rsidR="00070663">
        <w:t>As described in Chapter</w:t>
      </w:r>
      <w:r w:rsidR="00796069">
        <w:t> </w:t>
      </w:r>
      <w:r w:rsidR="00070663">
        <w:t xml:space="preserve">1, </w:t>
      </w:r>
      <w:r w:rsidR="00FB4417">
        <w:t>“</w:t>
      </w:r>
      <w:r w:rsidR="00070663">
        <w:t>Introduction</w:t>
      </w:r>
      <w:r w:rsidR="00FC7EAA">
        <w:t>,</w:t>
      </w:r>
      <w:r w:rsidR="00FB4417">
        <w:t>”</w:t>
      </w:r>
      <w:r w:rsidR="00070663">
        <w:t xml:space="preserve"> and Section 2.3.1, </w:t>
      </w:r>
      <w:r w:rsidR="00FB4417">
        <w:t>“</w:t>
      </w:r>
      <w:r w:rsidR="00070663">
        <w:t>Past and Current Treatments,</w:t>
      </w:r>
      <w:r w:rsidR="00FB4417">
        <w:t>”</w:t>
      </w:r>
      <w:r w:rsidR="00070663">
        <w:t xml:space="preserve"> </w:t>
      </w:r>
      <w:bookmarkEnd w:id="14"/>
      <w:r w:rsidR="00070663">
        <w:t xml:space="preserve">vegetation </w:t>
      </w:r>
      <w:r w:rsidR="00070663" w:rsidRPr="00194756">
        <w:t>treatment currently occurs around the state under</w:t>
      </w:r>
      <w:r w:rsidR="00070663">
        <w:t xml:space="preserve"> several other wildfire risk reduction programs implemented by various federal, state, and local agencies. In 2017–2018, CAL FIRE treated approximately 33,000 acres in California using the same treatment activities as proposed under the CalVTP.</w:t>
      </w:r>
      <w:r w:rsidR="00FB4417">
        <w:t xml:space="preserve"> </w:t>
      </w:r>
    </w:p>
    <w:p w14:paraId="61D6001D" w14:textId="47CB53E2" w:rsidR="003B659A" w:rsidRDefault="00E9652E" w:rsidP="00A621B2">
      <w:pPr>
        <w:pStyle w:val="BodyText"/>
      </w:pPr>
      <w:r>
        <w:t xml:space="preserve">CAL FIRE does not have data regarding the total trips or </w:t>
      </w:r>
      <w:r w:rsidR="00E0670B">
        <w:t>VMT</w:t>
      </w:r>
      <w:r>
        <w:t xml:space="preserve"> for current vegetation treatment.</w:t>
      </w:r>
      <w:r w:rsidR="00FB4417">
        <w:t xml:space="preserve"> </w:t>
      </w:r>
      <w:r>
        <w:t xml:space="preserve">Treatment crews typically originate from the region of the treatment site, as directed by the local CAL FIRE Unit manager. </w:t>
      </w:r>
      <w:r w:rsidR="00CD35F9">
        <w:t>Under existing conditions, c</w:t>
      </w:r>
      <w:r>
        <w:t>rew sizes</w:t>
      </w:r>
      <w:r w:rsidR="0010500E">
        <w:t xml:space="preserve"> and </w:t>
      </w:r>
      <w:r w:rsidR="001F04BA">
        <w:t>equipment hauled to and from treatment site</w:t>
      </w:r>
      <w:r w:rsidR="002F0A5B">
        <w:t>s</w:t>
      </w:r>
      <w:r w:rsidR="0010500E">
        <w:t xml:space="preserve"> varies based on treatment location, type, and size. </w:t>
      </w:r>
      <w:r w:rsidR="002F0A5B">
        <w:t>Therefore, d</w:t>
      </w:r>
      <w:r w:rsidR="0010500E">
        <w:t xml:space="preserve">ue to </w:t>
      </w:r>
      <w:r w:rsidR="002F0A5B">
        <w:t>the</w:t>
      </w:r>
      <w:r w:rsidR="0010500E">
        <w:t xml:space="preserve"> lack of data regarding current vegetation treatment activities</w:t>
      </w:r>
      <w:r w:rsidR="007E04B9">
        <w:t>;</w:t>
      </w:r>
      <w:r w:rsidR="0010500E" w:rsidRPr="0010500E">
        <w:t xml:space="preserve"> the number heavy-vehicle trips to haul equipment and materials, trips associated with the workers commuting to and from the treatment areas</w:t>
      </w:r>
      <w:r w:rsidR="007E04B9">
        <w:t>, and the associated trip lengths</w:t>
      </w:r>
      <w:r w:rsidR="0010500E" w:rsidRPr="0010500E">
        <w:t xml:space="preserve"> </w:t>
      </w:r>
      <w:r w:rsidR="007E04B9">
        <w:t>are</w:t>
      </w:r>
      <w:r w:rsidR="0010500E" w:rsidRPr="0010500E">
        <w:t xml:space="preserve"> not known</w:t>
      </w:r>
      <w:r w:rsidR="002F0A5B">
        <w:t xml:space="preserve">. Thus, </w:t>
      </w:r>
      <w:r w:rsidR="007E04B9">
        <w:t xml:space="preserve">the VMT generated by current vegetation treatments cannot be </w:t>
      </w:r>
      <w:r w:rsidR="007E04B9" w:rsidRPr="002F0A5B">
        <w:t>meaningfully quantified</w:t>
      </w:r>
      <w:r w:rsidR="003B659A">
        <w:t xml:space="preserve">, but typically require a small number of trips per day on an individual </w:t>
      </w:r>
      <w:r w:rsidR="003B659A">
        <w:lastRenderedPageBreak/>
        <w:t>basis, considering that vegetation treatment projects are generally consistent with construction activities in terms of the temporary nature of activities, trip generation characteristics, and types of vehicles and equipment required.</w:t>
      </w:r>
      <w:r w:rsidR="00FB4417">
        <w:t xml:space="preserve"> </w:t>
      </w:r>
    </w:p>
    <w:p w14:paraId="7D025A97" w14:textId="55756632" w:rsidR="00A62218" w:rsidRDefault="00A62218" w:rsidP="00A621B2">
      <w:pPr>
        <w:pStyle w:val="BodyText"/>
      </w:pPr>
      <w:r>
        <w:t>Wildfire can occur throughout the state and require emergency response in the form of personnel and equipment. In cases where a wildfire exceeds the capacity of a local CAL FIRE unit, emergency resources may be diverted to a wildfire from elsewhere in the state or some cases, elsewhere in the country or internationally</w:t>
      </w:r>
      <w:r w:rsidR="00393CF0">
        <w:t xml:space="preserve"> (refer to Section 3.9.2 in Section 3.9, </w:t>
      </w:r>
      <w:r w:rsidR="00FB4417">
        <w:t>“</w:t>
      </w:r>
      <w:r w:rsidR="00393CF0">
        <w:t>Energy Resources</w:t>
      </w:r>
      <w:r w:rsidR="005C7449">
        <w:t>,</w:t>
      </w:r>
      <w:r w:rsidR="00FB4417">
        <w:t>”</w:t>
      </w:r>
      <w:r w:rsidR="00393CF0">
        <w:t xml:space="preserve"> for examples)</w:t>
      </w:r>
      <w:r>
        <w:t>. Additional VMT results from this wildfire response. During wildfire, the main goal is containment and reducing impacts to human life and property; efficient travel and VMT minimization are not prioritized.</w:t>
      </w:r>
    </w:p>
    <w:p w14:paraId="3CE66E31" w14:textId="2DDCEADC" w:rsidR="003E10E8" w:rsidRPr="009A0F30" w:rsidRDefault="003E10E8" w:rsidP="003E10E8">
      <w:pPr>
        <w:pStyle w:val="Heading3"/>
      </w:pPr>
      <w:r>
        <w:t xml:space="preserve">Regulatory </w:t>
      </w:r>
      <w:r w:rsidR="00E2183C">
        <w:t>Setting</w:t>
      </w:r>
    </w:p>
    <w:p w14:paraId="6F1E1847" w14:textId="4AE2F49B" w:rsidR="003E10E8" w:rsidRDefault="003E10E8" w:rsidP="003E10E8">
      <w:pPr>
        <w:pStyle w:val="Heading4"/>
      </w:pPr>
      <w:r>
        <w:t>Federal</w:t>
      </w:r>
    </w:p>
    <w:p w14:paraId="79696082" w14:textId="22BECAE1" w:rsidR="004068F0" w:rsidRDefault="004068F0" w:rsidP="004068F0">
      <w:pPr>
        <w:pStyle w:val="Heading5"/>
      </w:pPr>
      <w:r>
        <w:t>Federal Highway Administration</w:t>
      </w:r>
    </w:p>
    <w:p w14:paraId="476290BC" w14:textId="49F24013" w:rsidR="00DF2BED" w:rsidRDefault="004068F0" w:rsidP="00DF2BED">
      <w:pPr>
        <w:pStyle w:val="BodyText"/>
      </w:pPr>
      <w:r w:rsidRPr="004068F0">
        <w:t>FHWA, an agency of the U.S. Department of Transportation, provides stewardship over the construction and preservation of the nation</w:t>
      </w:r>
      <w:r w:rsidR="00FB4417">
        <w:t>’</w:t>
      </w:r>
      <w:r w:rsidRPr="004068F0">
        <w:t>s highways, bridges, and tunnels</w:t>
      </w:r>
      <w:r w:rsidR="001B6869">
        <w:t xml:space="preserve">. </w:t>
      </w:r>
      <w:r w:rsidRPr="004068F0">
        <w:t xml:space="preserve">FHWA also conducts research and provides technical assistance to State and local agencies </w:t>
      </w:r>
      <w:r w:rsidR="002546D9" w:rsidRPr="004068F0">
        <w:t>to</w:t>
      </w:r>
      <w:r w:rsidRPr="004068F0">
        <w:t xml:space="preserve"> improve safety, mobility, and livability and to encourage innovation in these areas.</w:t>
      </w:r>
      <w:r w:rsidR="00FB4417">
        <w:t xml:space="preserve"> </w:t>
      </w:r>
      <w:r w:rsidR="00B27E5E">
        <w:t xml:space="preserve">FHWA also </w:t>
      </w:r>
      <w:r w:rsidR="0068356A">
        <w:t>p</w:t>
      </w:r>
      <w:r w:rsidR="00B27E5E">
        <w:t>rovides regulation and guidance related to work zone safety</w:t>
      </w:r>
      <w:r w:rsidR="002B4526">
        <w:t xml:space="preserve">, </w:t>
      </w:r>
      <w:r w:rsidR="00B27E5E">
        <w:t>mobility,</w:t>
      </w:r>
      <w:r w:rsidR="002B4526">
        <w:t xml:space="preserve"> and</w:t>
      </w:r>
      <w:r w:rsidR="00B27E5E">
        <w:t xml:space="preserve"> temporary traffic control device implementation</w:t>
      </w:r>
      <w:r w:rsidR="002B4526">
        <w:t xml:space="preserve">. </w:t>
      </w:r>
      <w:r w:rsidR="00D36E92">
        <w:t>FHWA regulation and guidance</w:t>
      </w:r>
      <w:r w:rsidR="00B66B7F">
        <w:t xml:space="preserve"> related to work zone safety, mobility, and temporary traffic control device implementation</w:t>
      </w:r>
      <w:r w:rsidR="00D36E92">
        <w:t xml:space="preserve"> </w:t>
      </w:r>
      <w:r w:rsidR="00B90F60">
        <w:t xml:space="preserve">is relevant </w:t>
      </w:r>
      <w:r w:rsidR="009D4755">
        <w:t xml:space="preserve">because </w:t>
      </w:r>
      <w:r w:rsidR="00B90F60">
        <w:t>it inform</w:t>
      </w:r>
      <w:r w:rsidR="00B66B7F">
        <w:t>s</w:t>
      </w:r>
      <w:r w:rsidR="00B90F60">
        <w:t xml:space="preserve"> the standard project requirements</w:t>
      </w:r>
      <w:r w:rsidR="00B66B7F" w:rsidRPr="00B66B7F">
        <w:t xml:space="preserve"> </w:t>
      </w:r>
      <w:r w:rsidR="00B66B7F">
        <w:t>of the proposed CalVTP</w:t>
      </w:r>
      <w:r w:rsidR="00B90F60">
        <w:t xml:space="preserve"> </w:t>
      </w:r>
      <w:r w:rsidR="00E154CA">
        <w:t xml:space="preserve">addressed </w:t>
      </w:r>
      <w:r w:rsidR="00B66B7F">
        <w:t xml:space="preserve">within this PEIR. </w:t>
      </w:r>
    </w:p>
    <w:p w14:paraId="48CEC82E" w14:textId="39150672" w:rsidR="003E10E8" w:rsidRDefault="003E10E8" w:rsidP="003E10E8">
      <w:pPr>
        <w:pStyle w:val="Heading4"/>
      </w:pPr>
      <w:r w:rsidRPr="00C145FF">
        <w:t>State</w:t>
      </w:r>
    </w:p>
    <w:p w14:paraId="4D1688C3" w14:textId="0187222A" w:rsidR="00BC79D7" w:rsidRDefault="00BC79D7" w:rsidP="00BC79D7">
      <w:pPr>
        <w:pStyle w:val="Heading5"/>
      </w:pPr>
      <w:bookmarkStart w:id="15" w:name="_Toc330915509"/>
      <w:bookmarkStart w:id="16" w:name="_Toc321483590"/>
      <w:r>
        <w:t>California Department of Transportation</w:t>
      </w:r>
    </w:p>
    <w:p w14:paraId="4CAF0A78" w14:textId="19D0829D" w:rsidR="00EC0991" w:rsidRPr="00B043B9" w:rsidRDefault="00BC79D7" w:rsidP="003B659A">
      <w:pPr>
        <w:pStyle w:val="BodyText"/>
      </w:pPr>
      <w:r w:rsidRPr="00BC79D7">
        <w:t xml:space="preserve">Caltrans is responsible for planning, designing, constructing, operating, and maintaining </w:t>
      </w:r>
      <w:r w:rsidR="00EC0991" w:rsidRPr="00EC0991">
        <w:t>the state highway system and ramp interchange intersections. Caltrans is also responsible for highway, bridge, and rail transportation planning, construction, and maintenance.</w:t>
      </w:r>
    </w:p>
    <w:p w14:paraId="2274B4EA" w14:textId="48DC02F9" w:rsidR="00763836" w:rsidRDefault="00770369" w:rsidP="003D5403">
      <w:pPr>
        <w:pStyle w:val="BodyText"/>
        <w:rPr>
          <w:caps/>
        </w:rPr>
      </w:pPr>
      <w:r>
        <w:t xml:space="preserve">Environmental planning </w:t>
      </w:r>
      <w:r w:rsidR="001950FE">
        <w:t xml:space="preserve">for </w:t>
      </w:r>
      <w:r>
        <w:t xml:space="preserve">transportation improvement </w:t>
      </w:r>
      <w:r w:rsidR="001950FE">
        <w:t xml:space="preserve">projects involving California state highways </w:t>
      </w:r>
      <w:r w:rsidR="003628D7">
        <w:t xml:space="preserve">follow the </w:t>
      </w:r>
      <w:r w:rsidR="001950FE">
        <w:t>procedures</w:t>
      </w:r>
      <w:r w:rsidR="003628D7">
        <w:t xml:space="preserve"> set forth </w:t>
      </w:r>
      <w:r w:rsidR="001950FE">
        <w:t xml:space="preserve">in </w:t>
      </w:r>
      <w:r w:rsidR="00FB62E4">
        <w:t>the agency</w:t>
      </w:r>
      <w:r w:rsidR="00FB4417">
        <w:rPr>
          <w:caps/>
        </w:rPr>
        <w:t>’</w:t>
      </w:r>
      <w:r w:rsidR="00FB62E4">
        <w:t xml:space="preserve">s Standard Environmental Reference and </w:t>
      </w:r>
      <w:r w:rsidR="009C6844">
        <w:t>Section V</w:t>
      </w:r>
      <w:r w:rsidR="00CE2B3C">
        <w:t xml:space="preserve"> </w:t>
      </w:r>
      <w:r w:rsidR="00FB62E4">
        <w:t xml:space="preserve">of Guidance for Compliance </w:t>
      </w:r>
      <w:r>
        <w:t>Environmental Handbook</w:t>
      </w:r>
      <w:r w:rsidR="00CE2B3C">
        <w:t>.</w:t>
      </w:r>
      <w:r w:rsidR="001950FE">
        <w:t xml:space="preserve"> Th</w:t>
      </w:r>
      <w:r>
        <w:t>is</w:t>
      </w:r>
      <w:r w:rsidR="003628D7">
        <w:t xml:space="preserve"> guidance </w:t>
      </w:r>
      <w:r w:rsidR="00A909C1">
        <w:t>is</w:t>
      </w:r>
      <w:r w:rsidR="003628D7">
        <w:t xml:space="preserve"> intended</w:t>
      </w:r>
      <w:r w:rsidR="00A909C1">
        <w:t xml:space="preserve"> </w:t>
      </w:r>
      <w:r w:rsidR="003628D7">
        <w:t>for</w:t>
      </w:r>
      <w:r w:rsidR="00A909C1">
        <w:t xml:space="preserve"> transportation</w:t>
      </w:r>
      <w:r w:rsidR="003628D7">
        <w:t>-specific improvement</w:t>
      </w:r>
      <w:r w:rsidR="00A909C1">
        <w:t xml:space="preserve"> </w:t>
      </w:r>
      <w:r w:rsidR="001950FE">
        <w:t xml:space="preserve">projects where Caltrans operates as the </w:t>
      </w:r>
      <w:r w:rsidR="00F351F8">
        <w:t xml:space="preserve">CEQA </w:t>
      </w:r>
      <w:r w:rsidR="001950FE">
        <w:t xml:space="preserve">lead </w:t>
      </w:r>
      <w:r w:rsidR="003628D7">
        <w:t>agency but</w:t>
      </w:r>
      <w:r w:rsidR="009C6844">
        <w:t xml:space="preserve"> can</w:t>
      </w:r>
      <w:r w:rsidR="003628D7">
        <w:t xml:space="preserve"> also</w:t>
      </w:r>
      <w:r w:rsidR="009C6844">
        <w:t xml:space="preserve"> be used by</w:t>
      </w:r>
      <w:r w:rsidR="00F351F8">
        <w:t xml:space="preserve"> </w:t>
      </w:r>
      <w:r w:rsidR="0093412C">
        <w:t xml:space="preserve">other agencies, including </w:t>
      </w:r>
      <w:r w:rsidR="00A909C1">
        <w:t>local</w:t>
      </w:r>
      <w:r w:rsidR="00F351F8">
        <w:t xml:space="preserve"> agencies</w:t>
      </w:r>
      <w:r w:rsidR="0093412C">
        <w:t>,</w:t>
      </w:r>
      <w:r w:rsidR="00F351F8">
        <w:t xml:space="preserve"> </w:t>
      </w:r>
      <w:r w:rsidR="00A909C1">
        <w:t>for</w:t>
      </w:r>
      <w:r w:rsidR="001950FE">
        <w:t xml:space="preserve"> </w:t>
      </w:r>
      <w:r w:rsidR="00F351F8" w:rsidRPr="00F351F8">
        <w:t>ideas supplemental to their own procedures</w:t>
      </w:r>
      <w:r w:rsidR="00056C35">
        <w:t>.</w:t>
      </w:r>
    </w:p>
    <w:p w14:paraId="1093F011" w14:textId="13694AE5" w:rsidR="00B66B7F" w:rsidRDefault="00FE1EE6" w:rsidP="00B66B7F">
      <w:pPr>
        <w:pStyle w:val="BodyText"/>
      </w:pPr>
      <w:r>
        <w:t xml:space="preserve">Caltrans provides guidance to local agencies </w:t>
      </w:r>
      <w:r w:rsidR="00770369">
        <w:t>on</w:t>
      </w:r>
      <w:r>
        <w:t xml:space="preserve"> assess</w:t>
      </w:r>
      <w:r w:rsidR="00770369">
        <w:t>ing</w:t>
      </w:r>
      <w:r>
        <w:t xml:space="preserve"> the performance of rural roadways</w:t>
      </w:r>
      <w:r w:rsidR="00770369">
        <w:t xml:space="preserve"> to </w:t>
      </w:r>
      <w:r>
        <w:t>enhance safety, mobility, accessibility and productivity</w:t>
      </w:r>
      <w:r w:rsidR="00FB62E4">
        <w:t xml:space="preserve"> under continued use</w:t>
      </w:r>
      <w:r>
        <w:t xml:space="preserve">. </w:t>
      </w:r>
      <w:r w:rsidR="00EC0991">
        <w:t>Caltrans requires transportation permits for the movement of vehicles or loads exceeding the limitations on the size and weight contained in Division 15, Chapter 5, Article 1, Section 35551, of the California Vehicle Code.</w:t>
      </w:r>
      <w:r w:rsidR="003B498B">
        <w:t xml:space="preserve"> </w:t>
      </w:r>
      <w:r w:rsidR="00B66B7F">
        <w:t xml:space="preserve">Treatment activities would require the short-term use of state and locally managed roadways; and thus, </w:t>
      </w:r>
      <w:r w:rsidR="003B498B">
        <w:t xml:space="preserve">Caltrans guidance and standards </w:t>
      </w:r>
      <w:r w:rsidR="00B66B7F">
        <w:t>specifically related to the performance of rural state roadways and vehicle size and weight limitations would apply to the proposed CalVTP.</w:t>
      </w:r>
    </w:p>
    <w:p w14:paraId="4FE46ECC" w14:textId="77777777" w:rsidR="007B4D1C" w:rsidRPr="007B4D1C" w:rsidRDefault="007B4D1C" w:rsidP="007B4D1C">
      <w:pPr>
        <w:pStyle w:val="Heading5"/>
      </w:pPr>
      <w:r w:rsidRPr="007B4D1C">
        <w:t>California Manual on Uniform Traffic Control Devices</w:t>
      </w:r>
    </w:p>
    <w:p w14:paraId="30AB7276" w14:textId="1B33BB64" w:rsidR="001D03D9" w:rsidRDefault="007B4D1C" w:rsidP="00434F07">
      <w:pPr>
        <w:autoSpaceDE w:val="0"/>
        <w:autoSpaceDN w:val="0"/>
        <w:adjustRightInd w:val="0"/>
      </w:pPr>
      <w:r w:rsidRPr="007B4D1C">
        <w:t xml:space="preserve">This </w:t>
      </w:r>
      <w:r w:rsidRPr="001D03D9">
        <w:rPr>
          <w:i/>
        </w:rPr>
        <w:t>California Manual on Uniform Traffic Control Devices</w:t>
      </w:r>
      <w:r w:rsidRPr="007B4D1C">
        <w:t xml:space="preserve"> (California MUTCD) is published by the California</w:t>
      </w:r>
      <w:r w:rsidR="0093412C">
        <w:t xml:space="preserve"> </w:t>
      </w:r>
      <w:r w:rsidR="00B7617F">
        <w:t xml:space="preserve">Department of Transportation </w:t>
      </w:r>
      <w:r w:rsidR="0093412C">
        <w:t>(</w:t>
      </w:r>
      <w:r w:rsidRPr="007B4D1C">
        <w:t>Caltrans</w:t>
      </w:r>
      <w:r w:rsidR="0093412C">
        <w:t>)</w:t>
      </w:r>
      <w:r w:rsidRPr="007B4D1C">
        <w:t xml:space="preserve"> and is issued to adopt uniform standards and specifications for all official traffic control devices in</w:t>
      </w:r>
      <w:r>
        <w:t xml:space="preserve"> </w:t>
      </w:r>
      <w:r w:rsidRPr="007B4D1C">
        <w:t>California</w:t>
      </w:r>
      <w:r>
        <w:t xml:space="preserve">. </w:t>
      </w:r>
      <w:r w:rsidR="002E16F5">
        <w:t>T</w:t>
      </w:r>
      <w:r w:rsidR="001D03D9">
        <w:t>emporary traffic control (TTC) a</w:t>
      </w:r>
      <w:r w:rsidR="001D03D9">
        <w:rPr>
          <w:color w:val="000000"/>
        </w:rPr>
        <w:t xml:space="preserve">pplies when the normal function of the roadway, or a private road open to public travel, is suspended and is intended </w:t>
      </w:r>
      <w:r w:rsidR="001D03D9">
        <w:t xml:space="preserve">to provide for the reasonably safe and effective movement of road users through or around TTC zones while reasonably protecting road users, workers, responders to traffic incidents, and </w:t>
      </w:r>
      <w:r w:rsidR="001D03D9" w:rsidRPr="001D03D9">
        <w:t>equipment. TTC planning provides for continuity of the movement of motor vehicle, bicycle, and pedestrian traffic (including accessible passage); transit operations; and access to property and utilities.</w:t>
      </w:r>
      <w:r w:rsidR="001D03D9">
        <w:t xml:space="preserve"> </w:t>
      </w:r>
      <w:r w:rsidR="00434F07" w:rsidRPr="00434F07">
        <w:t>TTC plans</w:t>
      </w:r>
      <w:r w:rsidR="00434F07">
        <w:t xml:space="preserve"> </w:t>
      </w:r>
      <w:r w:rsidR="00434F07" w:rsidRPr="00434F07">
        <w:lastRenderedPageBreak/>
        <w:t>should be prepared by persons knowledgeable</w:t>
      </w:r>
      <w:r w:rsidR="00434F07">
        <w:t xml:space="preserve"> </w:t>
      </w:r>
      <w:r w:rsidR="00434F07" w:rsidRPr="00434F07">
        <w:t>about the</w:t>
      </w:r>
      <w:r w:rsidR="00434F07">
        <w:t xml:space="preserve"> </w:t>
      </w:r>
      <w:r w:rsidR="00434F07" w:rsidRPr="00434F07">
        <w:t>fundamental principles of TTC and work activities to be performed</w:t>
      </w:r>
      <w:r w:rsidR="00434F07">
        <w:t>, and</w:t>
      </w:r>
      <w:r w:rsidR="00434F07" w:rsidRPr="00434F07">
        <w:t xml:space="preserve"> </w:t>
      </w:r>
      <w:r w:rsidR="00434F07">
        <w:t>t</w:t>
      </w:r>
      <w:r w:rsidR="00434F07" w:rsidRPr="00434F07">
        <w:t>he design, selection, and placement of TTC</w:t>
      </w:r>
      <w:r w:rsidR="00434F07">
        <w:t xml:space="preserve"> </w:t>
      </w:r>
      <w:r w:rsidR="00434F07" w:rsidRPr="00434F07">
        <w:t>devices for a TTC plan should be based on engineering judgment</w:t>
      </w:r>
      <w:r w:rsidR="00434F07">
        <w:t xml:space="preserve"> </w:t>
      </w:r>
      <w:r w:rsidR="001D03D9">
        <w:t>(</w:t>
      </w:r>
      <w:r w:rsidR="008E73CE">
        <w:t>Caltrans 201</w:t>
      </w:r>
      <w:r w:rsidR="00F62C7F">
        <w:t>9</w:t>
      </w:r>
      <w:r w:rsidR="008E73CE">
        <w:t>)</w:t>
      </w:r>
      <w:r w:rsidR="001D03D9" w:rsidRPr="001D03D9">
        <w:t>.</w:t>
      </w:r>
      <w:r w:rsidR="00434F07">
        <w:t xml:space="preserve"> </w:t>
      </w:r>
      <w:r w:rsidR="00B66B7F" w:rsidRPr="007B4D1C">
        <w:t>California MUTCD</w:t>
      </w:r>
      <w:r w:rsidR="00B66B7F">
        <w:t xml:space="preserve"> </w:t>
      </w:r>
      <w:r w:rsidR="00B55005">
        <w:t xml:space="preserve">TTC </w:t>
      </w:r>
      <w:r w:rsidR="00B66B7F">
        <w:t xml:space="preserve">standards and specifications would apply to </w:t>
      </w:r>
      <w:r w:rsidR="00B55005">
        <w:t>TTC</w:t>
      </w:r>
      <w:r w:rsidR="001B1695">
        <w:t xml:space="preserve"> or other related</w:t>
      </w:r>
      <w:r w:rsidR="00B55005">
        <w:t xml:space="preserve"> plans developed as part of, or in response to the proposed CalVTP.</w:t>
      </w:r>
    </w:p>
    <w:p w14:paraId="3F52C13B" w14:textId="25E40478" w:rsidR="00EC0991" w:rsidRPr="00EC0991" w:rsidRDefault="00EC0991" w:rsidP="00FE51EF">
      <w:pPr>
        <w:pStyle w:val="Heading5"/>
      </w:pPr>
      <w:r w:rsidRPr="00EC0991">
        <w:t>Transportation Management Plan Guidelines</w:t>
      </w:r>
    </w:p>
    <w:p w14:paraId="0B9DE0CC" w14:textId="4F6EA22E" w:rsidR="00EC0991" w:rsidRPr="00FE1EE6" w:rsidRDefault="00FE51EF" w:rsidP="008B2E38">
      <w:pPr>
        <w:pStyle w:val="BodyText"/>
      </w:pPr>
      <w:r w:rsidRPr="00FE51EF">
        <w:t xml:space="preserve">The Caltrans </w:t>
      </w:r>
      <w:r w:rsidRPr="00FE51EF">
        <w:rPr>
          <w:i/>
        </w:rPr>
        <w:t>Transportation Management Plan Guidelines (2015)</w:t>
      </w:r>
      <w:r w:rsidRPr="00FE51EF">
        <w:t xml:space="preserve"> </w:t>
      </w:r>
      <w:r w:rsidRPr="00EC0991">
        <w:t xml:space="preserve">identify the processes, roles, and responsibilities for preparing and implementing </w:t>
      </w:r>
      <w:r w:rsidRPr="00FE51EF">
        <w:t>Transportation Management Plan</w:t>
      </w:r>
      <w:r>
        <w:t>s</w:t>
      </w:r>
      <w:r w:rsidRPr="00FE51EF">
        <w:t xml:space="preserve"> </w:t>
      </w:r>
      <w:r>
        <w:t>(</w:t>
      </w:r>
      <w:r w:rsidRPr="00EC0991">
        <w:t>TMPs</w:t>
      </w:r>
      <w:r>
        <w:t>)</w:t>
      </w:r>
      <w:r w:rsidRPr="00EC0991">
        <w:t>, as well as useful strategies for reducing congestion and managing work zone traffic impacts.</w:t>
      </w:r>
      <w:r>
        <w:t xml:space="preserve"> </w:t>
      </w:r>
      <w:r w:rsidRPr="00EC0991">
        <w:t>TMP strategies are required for all planned construction, maintenance, and encroachment permit activities</w:t>
      </w:r>
      <w:r>
        <w:t xml:space="preserve"> within Caltrans right-of-way and requires a Caltrans encroachment permit.</w:t>
      </w:r>
      <w:r w:rsidR="00FB4417">
        <w:t xml:space="preserve"> </w:t>
      </w:r>
      <w:r w:rsidR="00EC0991" w:rsidRPr="00FE51EF">
        <w:t>A TMP encompasses activities that are implemented to minimize traffic delays that may result from lane restrictions or closures in a work zone. TMP strategies are designed to improve mobility, as well as safety for the traveling public and highway workers.</w:t>
      </w:r>
      <w:r w:rsidR="00B55005">
        <w:t xml:space="preserve"> TMP strategies would be required if treatment activities would require a Caltrans encroachment permit. </w:t>
      </w:r>
      <w:r w:rsidR="00F472AA">
        <w:t>Additionally</w:t>
      </w:r>
      <w:r w:rsidR="00B55005">
        <w:t>, TMP guidance will inform the standard project requirements</w:t>
      </w:r>
      <w:r w:rsidR="00B55005" w:rsidRPr="00B66B7F">
        <w:t xml:space="preserve"> </w:t>
      </w:r>
      <w:r w:rsidR="00B55005">
        <w:t xml:space="preserve">of the proposed CalVTP </w:t>
      </w:r>
      <w:r w:rsidR="00780F59">
        <w:t>addressed</w:t>
      </w:r>
      <w:r w:rsidR="00B55005">
        <w:t xml:space="preserve"> within this PEIR</w:t>
      </w:r>
      <w:r w:rsidR="009D4755">
        <w:t>.</w:t>
      </w:r>
    </w:p>
    <w:p w14:paraId="1F7E1871" w14:textId="08FC7339" w:rsidR="00823B90" w:rsidRDefault="00EC0991" w:rsidP="00823B90">
      <w:pPr>
        <w:pStyle w:val="Heading5"/>
      </w:pPr>
      <w:r>
        <w:t>Senate Bill 743</w:t>
      </w:r>
    </w:p>
    <w:p w14:paraId="10E1CB41" w14:textId="150FDAC8" w:rsidR="00D70B2A" w:rsidRDefault="00D70B2A" w:rsidP="00B37C6E">
      <w:pPr>
        <w:pStyle w:val="BodyText"/>
      </w:pPr>
      <w:r>
        <w:t>Senate Bill (SB) 743, passed in 2013, require</w:t>
      </w:r>
      <w:r w:rsidR="005B5AD8">
        <w:t>d</w:t>
      </w:r>
      <w:r>
        <w:t xml:space="preserve"> the Governor</w:t>
      </w:r>
      <w:r w:rsidR="00FB4417">
        <w:t>’</w:t>
      </w:r>
      <w:r>
        <w:t xml:space="preserve">s Office of Planning and Research (OPR) to develop new CEQA guidelines that address traffic metrics under CEQA. As stated in the legislation, upon adoption of the new guidelines, </w:t>
      </w:r>
      <w:r w:rsidR="00FB4417">
        <w:t>“</w:t>
      </w:r>
      <w:r>
        <w:t>automobile delay, as described solely by LOS or similar measures of vehicular capacity or traffic congestion shall not be considered a significant impact on the environment pursuant to this division, except in locations specifically identified in the guidelines, if any.</w:t>
      </w:r>
      <w:r w:rsidR="00FB4417">
        <w:t>”</w:t>
      </w:r>
    </w:p>
    <w:p w14:paraId="55E9F39D" w14:textId="4AB337BD" w:rsidR="00D70B2A" w:rsidRDefault="00D70B2A" w:rsidP="00B37C6E">
      <w:pPr>
        <w:pStyle w:val="BodyText"/>
      </w:pPr>
      <w:r w:rsidRPr="00AD4CE8">
        <w:t>OPR published its proposal for the comprehensive updates to the CEQA Guidelines in November 2017</w:t>
      </w:r>
      <w:r>
        <w:t xml:space="preserve"> which</w:t>
      </w:r>
      <w:r w:rsidRPr="00AD4CE8">
        <w:t xml:space="preserve"> include</w:t>
      </w:r>
      <w:r>
        <w:t>d</w:t>
      </w:r>
      <w:r w:rsidRPr="00AD4CE8">
        <w:t xml:space="preserve"> proposed updates related to analyzing transportation impacts pursuant to Senate Bill 743</w:t>
      </w:r>
      <w:r w:rsidR="002F528A">
        <w:t>. These updates indicated</w:t>
      </w:r>
      <w:r w:rsidR="002F528A" w:rsidRPr="00343A4D">
        <w:t xml:space="preserve"> that vehicle miles traveled (VMT) be the primary metric used to identify transportation impacts</w:t>
      </w:r>
      <w:r w:rsidR="002F528A">
        <w:t xml:space="preserve">. </w:t>
      </w:r>
      <w:r>
        <w:t>In December of 2018, OPR published the</w:t>
      </w:r>
      <w:r w:rsidR="005B5AD8">
        <w:t xml:space="preserve"> most recent version of the</w:t>
      </w:r>
      <w:r>
        <w:t xml:space="preserve"> </w:t>
      </w:r>
      <w:r w:rsidRPr="00AD4CE8">
        <w:t>Technical Advisory on Evaluating Transportation Impacts (</w:t>
      </w:r>
      <w:r>
        <w:t>December 2018</w:t>
      </w:r>
      <w:r w:rsidRPr="00AD4CE8">
        <w:t xml:space="preserve">) </w:t>
      </w:r>
      <w:r>
        <w:t xml:space="preserve">which </w:t>
      </w:r>
      <w:r w:rsidRPr="00AD4CE8">
        <w:t>provides guidance for VMT analysis</w:t>
      </w:r>
      <w:r>
        <w:t xml:space="preserve">. The Office of Administrative Law approved the updated CEQA Guidelines and </w:t>
      </w:r>
      <w:r w:rsidR="00D36E92">
        <w:t>lead</w:t>
      </w:r>
      <w:r>
        <w:t xml:space="preserve"> agencies have an opt-in period until July 1, 2020 to implement the updated guidelines.</w:t>
      </w:r>
    </w:p>
    <w:p w14:paraId="3C67BA91" w14:textId="7A62459D" w:rsidR="002F528A" w:rsidRDefault="00D70B2A" w:rsidP="00B37C6E">
      <w:pPr>
        <w:pStyle w:val="BodyText"/>
      </w:pPr>
      <w:r>
        <w:t xml:space="preserve">As noted in the </w:t>
      </w:r>
      <w:r w:rsidR="005B5AD8">
        <w:t xml:space="preserve">updated </w:t>
      </w:r>
      <w:r>
        <w:t>guidelines, agencies are directed to choose metrics that are appropriate for their jurisdiction to evaluate the potential impacts of a project in terms of VMT. The guidance provided thus far relative to VMT significance criteria is focused on residen</w:t>
      </w:r>
      <w:r w:rsidR="004310A8">
        <w:t>tial</w:t>
      </w:r>
      <w:r>
        <w:t xml:space="preserve">, office, and retail uses which would not apply to the rural and temporary transportation uses that would occur with implementation of CalVTP. For rural land uses, OPR guidance states that projects </w:t>
      </w:r>
      <w:r w:rsidR="00DB0143">
        <w:t xml:space="preserve">in rural areas </w:t>
      </w:r>
      <w:r>
        <w:t>outside of a metropolitan planning organization, as in the case of many locations of the treatable landscape, fewer options may be available for reducing VMT and significance thresholds may be best determined on a case-by-case basis.</w:t>
      </w:r>
      <w:r w:rsidR="00DB0969">
        <w:t xml:space="preserve"> </w:t>
      </w:r>
      <w:r w:rsidR="005D089C">
        <w:t>Additionally, as stated above, lead agencies have until July 1, 2020 to implement the updated guidelines.</w:t>
      </w:r>
    </w:p>
    <w:p w14:paraId="2800CFEA" w14:textId="050B31AC" w:rsidR="00BB5F38" w:rsidRDefault="007F4581" w:rsidP="002E68A9">
      <w:pPr>
        <w:pStyle w:val="Heading4"/>
      </w:pPr>
      <w:r w:rsidRPr="00C145FF">
        <w:t>Local</w:t>
      </w:r>
      <w:bookmarkEnd w:id="15"/>
    </w:p>
    <w:p w14:paraId="50F461F1" w14:textId="4FFA8ADF" w:rsidR="006E5D41" w:rsidRPr="00AB5F2C" w:rsidRDefault="006E5D41" w:rsidP="006C09E9">
      <w:pPr>
        <w:pStyle w:val="BodyText"/>
      </w:pPr>
      <w:bookmarkStart w:id="17" w:name="_Hlk3034694"/>
      <w:r>
        <w:t xml:space="preserve">When state agencies, including CAL FIRE, are conducting governmental activities under the authority of state law or the State Constitution, in this case, treatments implemented under the proposed CalVTP, they are exempt from local government plans, policies, and ordinances (unless a constitutional provision or statute </w:t>
      </w:r>
      <w:r w:rsidR="00C52B6B">
        <w:t>directs</w:t>
      </w:r>
      <w:r>
        <w:t xml:space="preserve"> otherwise).</w:t>
      </w:r>
      <w:r w:rsidR="00FB4417">
        <w:t xml:space="preserve"> </w:t>
      </w:r>
      <w:r>
        <w:t>Nonetheless, CAL FIRE voluntarily seeks to operate consistently with local governance to the extent feasible.</w:t>
      </w:r>
      <w:r w:rsidR="00FB4417">
        <w:t xml:space="preserve"> </w:t>
      </w:r>
      <w:r>
        <w:t>Given its statewide extent and the possible number of local and regional responsible agencies, this PEIR does not identify potentially applicable local government plan</w:t>
      </w:r>
      <w:r w:rsidR="00C52B6B">
        <w:t>s</w:t>
      </w:r>
      <w:r>
        <w:t>, polic</w:t>
      </w:r>
      <w:r w:rsidR="00C52B6B">
        <w:t>ies</w:t>
      </w:r>
      <w:r>
        <w:t>, and ordinance</w:t>
      </w:r>
      <w:r w:rsidR="00C52B6B">
        <w:t>s</w:t>
      </w:r>
      <w:r>
        <w:t xml:space="preserve">. </w:t>
      </w:r>
    </w:p>
    <w:p w14:paraId="62B80CD4" w14:textId="223F900A" w:rsidR="00BB5F38" w:rsidRDefault="00BB5F38" w:rsidP="00BB5F38">
      <w:pPr>
        <w:pStyle w:val="BodyText"/>
      </w:pPr>
      <w:r w:rsidRPr="000F3462">
        <w:t xml:space="preserve">The </w:t>
      </w:r>
      <w:r>
        <w:t xml:space="preserve">transportation metrics and </w:t>
      </w:r>
      <w:r w:rsidRPr="000F3462">
        <w:t>standards set by</w:t>
      </w:r>
      <w:r>
        <w:t xml:space="preserve"> regional and</w:t>
      </w:r>
      <w:r w:rsidRPr="000F3462">
        <w:t xml:space="preserve"> local </w:t>
      </w:r>
      <w:r>
        <w:t xml:space="preserve">agencies and </w:t>
      </w:r>
      <w:r w:rsidRPr="000F3462">
        <w:t>plans are highly variable with respect</w:t>
      </w:r>
      <w:r w:rsidR="005B5AD8">
        <w:t xml:space="preserve"> to LOS</w:t>
      </w:r>
      <w:r w:rsidRPr="000F3462">
        <w:t xml:space="preserve">. What is considered acceptable delay in a dense urban environment may not be acceptable in a rural environment. </w:t>
      </w:r>
      <w:r>
        <w:t xml:space="preserve">Types of local regulations relevant to transportation include City and County General Plans, zoning ordinances, </w:t>
      </w:r>
      <w:r w:rsidR="005B5AD8">
        <w:t xml:space="preserve">traffic impact analysis guidelines, </w:t>
      </w:r>
      <w:r>
        <w:t>and associated policies.</w:t>
      </w:r>
      <w:bookmarkEnd w:id="17"/>
      <w:r>
        <w:t xml:space="preserve"> </w:t>
      </w:r>
      <w:r w:rsidR="0085011B">
        <w:t xml:space="preserve">State law requires cities and counties to adopt general plans, which must </w:t>
      </w:r>
      <w:r w:rsidR="000F3462">
        <w:t>contain</w:t>
      </w:r>
      <w:r w:rsidR="0085011B">
        <w:t xml:space="preserve"> a transportation element</w:t>
      </w:r>
      <w:r w:rsidR="000F3462">
        <w:t xml:space="preserve"> which </w:t>
      </w:r>
      <w:r w:rsidR="009775C0" w:rsidRPr="000F3462">
        <w:t xml:space="preserve">include goals and policies related to transportation </w:t>
      </w:r>
      <w:r w:rsidR="009775C0" w:rsidRPr="000F3462">
        <w:lastRenderedPageBreak/>
        <w:t xml:space="preserve">and traffic. Many jurisdictions and regional transportation agencies also </w:t>
      </w:r>
      <w:r w:rsidR="000F3462">
        <w:t xml:space="preserve">have </w:t>
      </w:r>
      <w:r w:rsidR="009775C0" w:rsidRPr="000F3462">
        <w:t>congestion management plans</w:t>
      </w:r>
      <w:r w:rsidR="000F3462">
        <w:t xml:space="preserve"> (CMPs) which are </w:t>
      </w:r>
      <w:r w:rsidR="000F3462" w:rsidRPr="000F3462">
        <w:t xml:space="preserve">used to monitor and manage traffic congestion on roadways that comprise the CMP network. </w:t>
      </w:r>
    </w:p>
    <w:p w14:paraId="3BBE82FE" w14:textId="0FA95288" w:rsidR="000F3462" w:rsidRPr="00901D56" w:rsidRDefault="00BB5F38" w:rsidP="00BB5F38">
      <w:pPr>
        <w:pStyle w:val="BodyText"/>
      </w:pPr>
      <w:r>
        <w:t>This PEIR assumes that any vegetation treatments proposed by local or regional agencies under the CalVTP would be consistent with local plans, policies, and ordinances</w:t>
      </w:r>
      <w:r w:rsidR="00012820">
        <w:t xml:space="preserve"> to the extent particular project</w:t>
      </w:r>
      <w:r w:rsidR="006B4401">
        <w:t>s</w:t>
      </w:r>
      <w:r w:rsidR="00012820">
        <w:t xml:space="preserve"> </w:t>
      </w:r>
      <w:r w:rsidR="006B4401">
        <w:t xml:space="preserve">are </w:t>
      </w:r>
      <w:r w:rsidR="00012820">
        <w:t>subject to them</w:t>
      </w:r>
      <w:r>
        <w:t>, as required by SPR AD-</w:t>
      </w:r>
      <w:r w:rsidR="005E6B1E">
        <w:t>3</w:t>
      </w:r>
      <w:r>
        <w:t xml:space="preserve">. </w:t>
      </w:r>
    </w:p>
    <w:p w14:paraId="5E8748E5" w14:textId="708A4662" w:rsidR="006E5312" w:rsidRPr="00A119D7" w:rsidRDefault="006E5312" w:rsidP="00496ED1">
      <w:pPr>
        <w:pStyle w:val="Heading3"/>
      </w:pPr>
      <w:bookmarkStart w:id="18" w:name="_Toc384132818"/>
      <w:bookmarkEnd w:id="16"/>
      <w:r w:rsidRPr="00A119D7">
        <w:t>Impact</w:t>
      </w:r>
      <w:r w:rsidR="00DF2BED">
        <w:t xml:space="preserve"> </w:t>
      </w:r>
      <w:bookmarkEnd w:id="18"/>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53AE2853" w14:textId="5925271A" w:rsidR="00D36E92" w:rsidRDefault="003B2EB6" w:rsidP="006C09E9">
      <w:pPr>
        <w:pStyle w:val="BodyText"/>
      </w:pPr>
      <w:r>
        <w:t xml:space="preserve">The analysis of </w:t>
      </w:r>
      <w:r w:rsidR="007D25C9">
        <w:t xml:space="preserve">transportation impacts related to implementation of the CalVTP includes qualitative analysis of temporary traffic operations, </w:t>
      </w:r>
      <w:r>
        <w:t>bicycle</w:t>
      </w:r>
      <w:r w:rsidR="00C36291">
        <w:t>, pedestrian, and transit facilities</w:t>
      </w:r>
      <w:r>
        <w:t>, hazards, emergency access</w:t>
      </w:r>
      <w:r w:rsidR="00381D6D">
        <w:t>, and VMT</w:t>
      </w:r>
      <w:r w:rsidR="00C36291">
        <w:t>. The analysis</w:t>
      </w:r>
      <w:r>
        <w:t xml:space="preserve"> </w:t>
      </w:r>
      <w:r w:rsidR="00C36291">
        <w:t>is</w:t>
      </w:r>
      <w:r>
        <w:t xml:space="preserve"> based on details </w:t>
      </w:r>
      <w:r w:rsidR="00B33164">
        <w:t>of</w:t>
      </w:r>
      <w:r>
        <w:t xml:space="preserve"> typical treatment</w:t>
      </w:r>
      <w:r w:rsidR="00027B63">
        <w:t xml:space="preserve"> activities</w:t>
      </w:r>
      <w:r>
        <w:t xml:space="preserve">, the equipment utilized for treatments, </w:t>
      </w:r>
      <w:r w:rsidR="004902D9">
        <w:t xml:space="preserve">and </w:t>
      </w:r>
      <w:r>
        <w:t>methods for transporting the equipment</w:t>
      </w:r>
      <w:r w:rsidR="007D25C9">
        <w:t>. S</w:t>
      </w:r>
      <w:r w:rsidR="007D25C9" w:rsidRPr="00CA39F8">
        <w:t>ignificance</w:t>
      </w:r>
      <w:r w:rsidR="007D25C9">
        <w:t xml:space="preserve"> determinations account for the influence of relevant SPRs</w:t>
      </w:r>
      <w:r w:rsidR="007D25C9" w:rsidRPr="007D25C9">
        <w:t xml:space="preserve"> </w:t>
      </w:r>
      <w:r w:rsidR="007D25C9">
        <w:t xml:space="preserve">(i.e., </w:t>
      </w:r>
      <w:r w:rsidR="002E7B3F">
        <w:t>TMPs</w:t>
      </w:r>
      <w:r w:rsidR="007D25C9">
        <w:t>), which are incorporated into treatment prescriptions and project design</w:t>
      </w:r>
      <w:r w:rsidR="005E6B1E">
        <w:t xml:space="preserve"> and listed below</w:t>
      </w:r>
      <w:r w:rsidR="007D25C9">
        <w:t>.</w:t>
      </w:r>
    </w:p>
    <w:p w14:paraId="35031E4C" w14:textId="4354BD4D" w:rsidR="005E6B1E" w:rsidRDefault="00D26B59" w:rsidP="005E6B1E">
      <w:pPr>
        <w:pStyle w:val="Bullet1"/>
      </w:pPr>
      <w:bookmarkStart w:id="19"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9860CF">
        <w:rPr>
          <w:u w:val="single"/>
        </w:rPr>
        <w:t>, Community Wildfire Protection Plans, CAL FIRE Unit Fire Plans</w:t>
      </w:r>
      <w:r w:rsidRPr="007A6CF2">
        <w:t xml:space="preserve">), policies, and ordinances to the extent the project is subject to them. </w:t>
      </w:r>
      <w:bookmarkStart w:id="20" w:name="_Hlk10464028"/>
      <w:r w:rsidRPr="007A6CF2">
        <w:t>This SPR applies to all treatment activities and treatment types</w:t>
      </w:r>
      <w:r w:rsidR="002D6CF9">
        <w:rPr>
          <w:u w:val="single"/>
        </w:rPr>
        <w:t>, including treatment maintenance</w:t>
      </w:r>
      <w:r w:rsidRPr="007A6CF2">
        <w:t>.</w:t>
      </w:r>
      <w:bookmarkEnd w:id="19"/>
      <w:bookmarkEnd w:id="20"/>
    </w:p>
    <w:p w14:paraId="6E505614" w14:textId="42A22D84" w:rsidR="005E6B1E" w:rsidRDefault="005E6B1E" w:rsidP="005E6B1E">
      <w:pPr>
        <w:pStyle w:val="Bullet1"/>
      </w:pPr>
      <w:r>
        <w:rPr>
          <w:b/>
          <w:bCs w:val="0"/>
        </w:rPr>
        <w:t>SPR HYD-2 Avoid Construction of New Roads:</w:t>
      </w:r>
      <w:r>
        <w:t xml:space="preserve"> The project proponent will not construct or reconstruct (i.e., cutting or filling involving less than 50 cubic yards/0.25 linear road miles) any new roads (including temporary roads). </w:t>
      </w:r>
      <w:r w:rsidR="008B4746">
        <w:t>This SPR applies to all treatment activities and treatment types</w:t>
      </w:r>
      <w:r w:rsidR="002D6CF9">
        <w:rPr>
          <w:u w:val="single"/>
        </w:rPr>
        <w:t>, including treatment maintenance</w:t>
      </w:r>
      <w:r w:rsidR="00DA60A5">
        <w:t>.</w:t>
      </w:r>
    </w:p>
    <w:p w14:paraId="4BEB2D44" w14:textId="026CBE08" w:rsidR="004D7187" w:rsidRDefault="005E6B1E" w:rsidP="004D7187">
      <w:pPr>
        <w:pStyle w:val="Bullet1"/>
      </w:pPr>
      <w:r w:rsidRPr="00C50177">
        <w:rPr>
          <w:b/>
        </w:rPr>
        <w:t>SPR TRAN-</w:t>
      </w:r>
      <w:r>
        <w:rPr>
          <w:b/>
        </w:rPr>
        <w:t>1</w:t>
      </w:r>
      <w:r w:rsidRPr="00C50177">
        <w:rPr>
          <w:b/>
        </w:rPr>
        <w:t xml:space="preserve"> </w:t>
      </w:r>
      <w:r>
        <w:rPr>
          <w:b/>
        </w:rPr>
        <w:t xml:space="preserve">Implement </w:t>
      </w:r>
      <w:r w:rsidRPr="00C50177">
        <w:rPr>
          <w:b/>
        </w:rPr>
        <w:t xml:space="preserve">Traffic Control during Treatments: </w:t>
      </w:r>
      <w:r w:rsidR="004D7187">
        <w:t>Prior to initiating vegetation treatment activities the project proponent will work with the agency(</w:t>
      </w:r>
      <w:proofErr w:type="spellStart"/>
      <w:r w:rsidR="004D7187">
        <w:t>ies</w:t>
      </w:r>
      <w:proofErr w:type="spellEnd"/>
      <w:r w:rsidR="004D7187">
        <w:t xml:space="preserve">)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w:t>
      </w:r>
      <w:r w:rsidR="004D7187" w:rsidRPr="00662E87">
        <w:t>signage to</w:t>
      </w:r>
      <w:r w:rsidR="004D7187">
        <w:t xml:space="preserve"> provide motorists with notification and information when approaching or traveling along the affected roadway facilities, flaggers </w:t>
      </w:r>
      <w:r w:rsidR="004D7187" w:rsidRPr="00662E87">
        <w:t xml:space="preserve">for lane closures to </w:t>
      </w:r>
      <w:r w:rsidR="004D7187">
        <w:t xml:space="preserve">provide temporary traffic </w:t>
      </w:r>
      <w:r w:rsidR="004D7187" w:rsidRPr="008A4FF2">
        <w:t>control</w:t>
      </w:r>
      <w:r w:rsidR="004D7187">
        <w:t xml:space="preserve"> along affected roadway facilities, </w:t>
      </w:r>
      <w:r w:rsidR="004D7187" w:rsidRPr="00662E87">
        <w:t>treatment</w:t>
      </w:r>
      <w:r w:rsidR="004D7187">
        <w:t xml:space="preserve"> schedule </w:t>
      </w:r>
      <w:r w:rsidR="004D7187" w:rsidRPr="00C219B0">
        <w:t>restrictions t</w:t>
      </w:r>
      <w:r w:rsidR="004D7187" w:rsidRPr="00461186">
        <w:t>o avoid seasons or time periods of peak vehicle traffic</w:t>
      </w:r>
      <w:r w:rsidR="004D7187" w:rsidRPr="00C219B0">
        <w:t>, haul</w:t>
      </w:r>
      <w:r w:rsidR="004D7187">
        <w:t xml:space="preserve">-trip, delivery, and/or commute time restrictions that </w:t>
      </w:r>
      <w:r w:rsidR="004D7187" w:rsidRPr="008A4FF2">
        <w:t>would be implemented to avoid peak traffic days and times along affected roadway facilities</w:t>
      </w:r>
      <w:r w:rsidR="004D7187">
        <w:t>. If the TMP identifies impacts on transportation facilities outside of the jurisdiction of the project proponent, t</w:t>
      </w:r>
      <w:r w:rsidR="004D7187" w:rsidRPr="00304863">
        <w:t xml:space="preserve">he TMP </w:t>
      </w:r>
      <w:r w:rsidR="004D7187">
        <w:t>will</w:t>
      </w:r>
      <w:r w:rsidR="004D7187" w:rsidRPr="00304863">
        <w:t xml:space="preserve"> be submitted to the </w:t>
      </w:r>
      <w:r w:rsidR="004D7187">
        <w:t>agency with</w:t>
      </w:r>
      <w:r w:rsidR="004D7187" w:rsidRPr="00304863">
        <w:t xml:space="preserve"> jurisdiction over the affected </w:t>
      </w:r>
      <w:r w:rsidR="004D7187">
        <w:t xml:space="preserve">roadways prior to commencement of vegetation treatment projects. </w:t>
      </w:r>
      <w:r w:rsidR="008B4746">
        <w:t>This SPR applies to all treatment activities and treatment types</w:t>
      </w:r>
      <w:r w:rsidR="002D6CF9">
        <w:rPr>
          <w:u w:val="single"/>
        </w:rPr>
        <w:t>, including treatment maintenance</w:t>
      </w:r>
      <w:r w:rsidR="004D7187">
        <w:t>.</w:t>
      </w:r>
    </w:p>
    <w:p w14:paraId="756E4C86" w14:textId="232167A1" w:rsidR="005E6B1E" w:rsidRDefault="004D7187" w:rsidP="004D7187">
      <w:pPr>
        <w:pStyle w:val="Bullet1"/>
        <w:numPr>
          <w:ilvl w:val="0"/>
          <w:numId w:val="0"/>
        </w:numPr>
        <w:ind w:left="360"/>
      </w:pPr>
      <w:r>
        <w:t xml:space="preserve">Smoke generated during prescribed burn operations could potentially affect driver visibility and traffic operations along nearby roadways. </w:t>
      </w:r>
      <w:r w:rsidRPr="00C66E88">
        <w:t xml:space="preserve">Direct smoke impacts to roadway visibility and indirect </w:t>
      </w:r>
      <w:r>
        <w:t xml:space="preserve">impacts related to driver </w:t>
      </w:r>
      <w:r w:rsidRPr="00C66E88">
        <w:t xml:space="preserve">distraction </w:t>
      </w:r>
      <w:r>
        <w:t>will</w:t>
      </w:r>
      <w:r w:rsidRPr="00C66E88">
        <w:t xml:space="preserve"> be considered during </w:t>
      </w:r>
      <w:r>
        <w:t xml:space="preserve">the planning phase of </w:t>
      </w:r>
      <w:r w:rsidRPr="00C66E88">
        <w:t>burning operations.</w:t>
      </w:r>
      <w:r>
        <w:t xml:space="preserve"> </w:t>
      </w:r>
      <w:r w:rsidRPr="000B3A59">
        <w:t>Smoke impacts</w:t>
      </w:r>
      <w:r>
        <w:t xml:space="preserve"> and smoke management practices specific to </w:t>
      </w:r>
      <w:r w:rsidRPr="000B3A59">
        <w:t>traffic operations during prescribed fire operations</w:t>
      </w:r>
      <w:r>
        <w:t xml:space="preserve"> will be identified and addressed within the TMP</w:t>
      </w:r>
      <w:r w:rsidRPr="000B3A59">
        <w:t>.</w:t>
      </w:r>
      <w:r>
        <w:t xml:space="preserve"> The TMP will include measures to monitor smoke dispersion onto public roadways, and traffic control operations will be initiated in </w:t>
      </w:r>
      <w:r w:rsidRPr="008D6090">
        <w:t xml:space="preserve">the event burning operations </w:t>
      </w:r>
      <w:r>
        <w:t xml:space="preserve">could affect </w:t>
      </w:r>
      <w:r w:rsidRPr="008D6090">
        <w:t xml:space="preserve">traffic </w:t>
      </w:r>
      <w:r>
        <w:t xml:space="preserve">safety </w:t>
      </w:r>
      <w:r w:rsidRPr="008D6090">
        <w:t xml:space="preserve">along </w:t>
      </w:r>
      <w:r>
        <w:t>any</w:t>
      </w:r>
      <w:r w:rsidRPr="008D6090">
        <w:t xml:space="preserve"> roadways.</w:t>
      </w:r>
      <w:r w:rsidRPr="000B3A59">
        <w:t xml:space="preserve"> </w:t>
      </w:r>
      <w:r>
        <w:t xml:space="preserve">This SPR applies </w:t>
      </w:r>
      <w:r w:rsidR="00A847D8">
        <w:t xml:space="preserve">only </w:t>
      </w:r>
      <w:r>
        <w:t xml:space="preserve">to prescribed burn </w:t>
      </w:r>
      <w:r w:rsidR="002B5F30">
        <w:t xml:space="preserve">treatment </w:t>
      </w:r>
      <w:r>
        <w:t>activities</w:t>
      </w:r>
      <w:r w:rsidR="008B4746">
        <w:t xml:space="preserve"> and all treatment types</w:t>
      </w:r>
      <w:r w:rsidR="002D6CF9">
        <w:rPr>
          <w:u w:val="single"/>
        </w:rPr>
        <w:t>, including treatment maintenance</w:t>
      </w:r>
      <w:r>
        <w:t>.</w:t>
      </w:r>
      <w:r w:rsidR="005E6B1E" w:rsidRPr="000B3A59">
        <w:t xml:space="preserve"> </w:t>
      </w:r>
    </w:p>
    <w:p w14:paraId="1FD08C36" w14:textId="6EC577C2" w:rsidR="00936708" w:rsidRPr="000C54A6" w:rsidRDefault="00936708" w:rsidP="00936708">
      <w:pPr>
        <w:pStyle w:val="Heading5"/>
      </w:pPr>
      <w:r>
        <w:lastRenderedPageBreak/>
        <w:t>Methodology</w:t>
      </w:r>
      <w:r w:rsidR="00FC651F" w:rsidRPr="00FC651F">
        <w:t xml:space="preserve"> </w:t>
      </w:r>
      <w:r w:rsidR="00FC651F">
        <w:t>for Determining VMT Threshold of Significance</w:t>
      </w:r>
    </w:p>
    <w:p w14:paraId="6D0EF871" w14:textId="51E8B00F" w:rsidR="00B51A63" w:rsidRDefault="00FC651F" w:rsidP="008A2AC9">
      <w:pPr>
        <w:pStyle w:val="BodyText"/>
      </w:pPr>
      <w:r>
        <w:t>S</w:t>
      </w:r>
      <w:r w:rsidR="00936708" w:rsidRPr="00936708">
        <w:t xml:space="preserve">ection 15064.3 was added </w:t>
      </w:r>
      <w:r w:rsidR="00E9652E">
        <w:t xml:space="preserve">to the State CEQA Guidelines effective </w:t>
      </w:r>
      <w:r w:rsidR="00936708" w:rsidRPr="00936708">
        <w:t xml:space="preserve">December 28, 2018 </w:t>
      </w:r>
      <w:r w:rsidR="00E9652E">
        <w:t>as part of a comprehensive guidelines update.</w:t>
      </w:r>
      <w:r w:rsidR="00FB4417">
        <w:t xml:space="preserve"> </w:t>
      </w:r>
      <w:r w:rsidR="00E9652E">
        <w:t xml:space="preserve">The section </w:t>
      </w:r>
      <w:r w:rsidR="00936708" w:rsidRPr="00936708">
        <w:t>address</w:t>
      </w:r>
      <w:r w:rsidR="00E9652E">
        <w:t>es</w:t>
      </w:r>
      <w:r w:rsidR="00936708" w:rsidRPr="00936708">
        <w:t xml:space="preserve"> the determination of significance for transportation impacts, which requires that the analysis </w:t>
      </w:r>
      <w:r>
        <w:t>be</w:t>
      </w:r>
      <w:r w:rsidR="00936708" w:rsidRPr="00936708">
        <w:t xml:space="preserve"> based on VMT instead of </w:t>
      </w:r>
      <w:r>
        <w:t xml:space="preserve">a </w:t>
      </w:r>
      <w:r w:rsidR="00936708" w:rsidRPr="00936708">
        <w:t>congestion</w:t>
      </w:r>
      <w:r>
        <w:t xml:space="preserve"> metric</w:t>
      </w:r>
      <w:r w:rsidR="00936708" w:rsidRPr="00936708">
        <w:t xml:space="preserve"> (such as LOS).</w:t>
      </w:r>
      <w:r w:rsidR="00FB4417">
        <w:t xml:space="preserve"> </w:t>
      </w:r>
      <w:r w:rsidR="00936708" w:rsidRPr="00936708">
        <w:t>The change in the focus of transportation analysis is the result of legislation (SB 743</w:t>
      </w:r>
      <w:r w:rsidR="00E9652E">
        <w:t>, Statutes of 2013</w:t>
      </w:r>
      <w:r w:rsidR="00936708" w:rsidRPr="00936708">
        <w:t xml:space="preserve">) and is intended to change the focus from congestion to, among other things, reduction in greenhouse gas emissions, encouraging mixed use development, and other factors. Pursuant to </w:t>
      </w:r>
      <w:r>
        <w:t xml:space="preserve">State </w:t>
      </w:r>
      <w:r w:rsidRPr="00936708">
        <w:t xml:space="preserve">CEQA Guidelines </w:t>
      </w:r>
      <w:r>
        <w:t>S</w:t>
      </w:r>
      <w:r w:rsidRPr="00936708">
        <w:t xml:space="preserve">ection </w:t>
      </w:r>
      <w:r w:rsidR="00936708" w:rsidRPr="00936708">
        <w:t>15064.3(c)</w:t>
      </w:r>
      <w:r>
        <w:t>,</w:t>
      </w:r>
      <w:r w:rsidR="00936708" w:rsidRPr="00936708">
        <w:t xml:space="preserve"> this change in analysis may be implemented now and is mandated to be </w:t>
      </w:r>
      <w:r w:rsidR="00936708">
        <w:t>addressed</w:t>
      </w:r>
      <w:r w:rsidR="00936708" w:rsidRPr="00936708">
        <w:t xml:space="preserve"> beginning July 1, 2020. Because th</w:t>
      </w:r>
      <w:r w:rsidR="00936708">
        <w:t xml:space="preserve">e CalVTP </w:t>
      </w:r>
      <w:r w:rsidR="00936708" w:rsidRPr="00936708">
        <w:t xml:space="preserve">will apply to </w:t>
      </w:r>
      <w:r w:rsidR="00936708">
        <w:t>vegetation treatment projects</w:t>
      </w:r>
      <w:r w:rsidR="00936708" w:rsidRPr="00936708">
        <w:t xml:space="preserve"> after the date on which VMT is required to be considered, it is included in the analysis in this </w:t>
      </w:r>
      <w:r w:rsidR="002C52BA">
        <w:t>P</w:t>
      </w:r>
      <w:r w:rsidR="00936708" w:rsidRPr="00936708">
        <w:t xml:space="preserve">EIR. </w:t>
      </w:r>
    </w:p>
    <w:p w14:paraId="688DA68E" w14:textId="265142AF" w:rsidR="005F6795" w:rsidRDefault="005F6795" w:rsidP="008A2AC9">
      <w:pPr>
        <w:pStyle w:val="BodyText"/>
      </w:pPr>
      <w:r>
        <w:t>SB 743 requirements are most applicable to travel related to urban land uses, such as residential, employment, or commercial development projects; however, requirements are not limited to those types of projects.</w:t>
      </w:r>
      <w:r w:rsidR="00FB4417">
        <w:t xml:space="preserve"> </w:t>
      </w:r>
      <w:r w:rsidR="00B51A63">
        <w:t xml:space="preserve">State </w:t>
      </w:r>
      <w:r w:rsidR="00936708" w:rsidRPr="00936708">
        <w:t>CEQA Guidelines Section 15064.3(b) identifies criteria for analyzing the transportation impacts of a project</w:t>
      </w:r>
      <w:r w:rsidR="00B51A63">
        <w:t>, including land use projects (</w:t>
      </w:r>
      <w:r w:rsidR="00B51A63" w:rsidRPr="00C817E0">
        <w:t>Section 15064.3(b)(1)</w:t>
      </w:r>
      <w:r w:rsidR="00B51A63">
        <w:t>)</w:t>
      </w:r>
      <w:r w:rsidR="00B51A63" w:rsidRPr="00C817E0">
        <w:t xml:space="preserve"> </w:t>
      </w:r>
      <w:r w:rsidR="00B51A63">
        <w:t>and transportation projects</w:t>
      </w:r>
      <w:r w:rsidR="00B51A63" w:rsidRPr="00B51A63">
        <w:t xml:space="preserve"> </w:t>
      </w:r>
      <w:r w:rsidR="00B51A63">
        <w:t>(</w:t>
      </w:r>
      <w:r w:rsidR="00B51A63" w:rsidRPr="00C817E0">
        <w:t>Section 15064.3(b)(2)</w:t>
      </w:r>
      <w:r w:rsidR="00B51A63">
        <w:t>)</w:t>
      </w:r>
      <w:r w:rsidR="00936708" w:rsidRPr="00936708">
        <w:t xml:space="preserve">. </w:t>
      </w:r>
      <w:r w:rsidR="00B51A63">
        <w:t>V</w:t>
      </w:r>
      <w:r w:rsidR="00C817E0" w:rsidRPr="00C817E0">
        <w:t xml:space="preserve">egetation treatment projects </w:t>
      </w:r>
      <w:r w:rsidR="00AC456B" w:rsidRPr="00C817E0">
        <w:t xml:space="preserve">under the </w:t>
      </w:r>
      <w:r w:rsidR="00B51A63">
        <w:t xml:space="preserve">proposed </w:t>
      </w:r>
      <w:r w:rsidR="00C817E0" w:rsidRPr="00C817E0">
        <w:t>CalVTP</w:t>
      </w:r>
      <w:r w:rsidR="00AC456B" w:rsidRPr="00C817E0">
        <w:t xml:space="preserve"> </w:t>
      </w:r>
      <w:r w:rsidR="00B51A63">
        <w:t xml:space="preserve">are not land use or transportation projects, so neither of these sections apply. However, State </w:t>
      </w:r>
      <w:r w:rsidR="00B51A63" w:rsidRPr="00936708">
        <w:t xml:space="preserve">CEQA Guidelines </w:t>
      </w:r>
      <w:r w:rsidR="00B51A63" w:rsidRPr="00C817E0">
        <w:t>Section 15064.3(b)(1)</w:t>
      </w:r>
      <w:r w:rsidR="00B51A63">
        <w:t xml:space="preserve"> notes </w:t>
      </w:r>
      <w:r w:rsidR="00AC456B" w:rsidRPr="00C817E0">
        <w:t xml:space="preserve">that projects </w:t>
      </w:r>
      <w:r>
        <w:t>that</w:t>
      </w:r>
      <w:r w:rsidR="00AC456B" w:rsidRPr="00C817E0">
        <w:t xml:space="preserve"> would decrease VMT in the project area as compared to existing conditions should be presumed to have a less than significant effect. </w:t>
      </w:r>
      <w:r w:rsidR="00B51A63">
        <w:t xml:space="preserve">State </w:t>
      </w:r>
      <w:r w:rsidR="00B51A63" w:rsidRPr="00936708">
        <w:t xml:space="preserve">CEQA Guidelines </w:t>
      </w:r>
      <w:r w:rsidR="00936708" w:rsidRPr="00F07793">
        <w:t xml:space="preserve">Section 15064.3(b)(3) </w:t>
      </w:r>
      <w:r w:rsidR="00B51A63">
        <w:t>(</w:t>
      </w:r>
      <w:r w:rsidR="00936708" w:rsidRPr="00F07793">
        <w:t>Qualitative Analysis</w:t>
      </w:r>
      <w:r w:rsidR="00B51A63">
        <w:t>)</w:t>
      </w:r>
      <w:r w:rsidR="00936708" w:rsidRPr="00F07793">
        <w:t xml:space="preserve"> </w:t>
      </w:r>
      <w:r w:rsidR="00F07793">
        <w:t xml:space="preserve">explains </w:t>
      </w:r>
      <w:r w:rsidR="00F07793" w:rsidRPr="00F07793">
        <w:t>that there may be conditions under which a qualitative rather than quantitative analysis of VMT is appropriate.</w:t>
      </w:r>
      <w:r w:rsidR="00FB4417">
        <w:t xml:space="preserve"> </w:t>
      </w:r>
      <w:r w:rsidR="00F07793">
        <w:t>T</w:t>
      </w:r>
      <w:r w:rsidR="00F07793" w:rsidRPr="00F07793">
        <w:t xml:space="preserve">his section states </w:t>
      </w:r>
      <w:r w:rsidR="00F07793">
        <w:t>that i</w:t>
      </w:r>
      <w:r w:rsidR="00F07793" w:rsidRPr="00F07793">
        <w:t>f existing models or methods are not available to estimate the VMT for the particular project being considered, a lead agency may analyze the project</w:t>
      </w:r>
      <w:r w:rsidR="00FB4417">
        <w:t>’</w:t>
      </w:r>
      <w:r w:rsidR="00F07793" w:rsidRPr="00F07793">
        <w:t xml:space="preserve">s VMT qualitatively. Additionally, this section notes that for many projects, a qualitative analysis of construction traffic may be appropriate. </w:t>
      </w:r>
    </w:p>
    <w:p w14:paraId="31A89913" w14:textId="4B51F000" w:rsidR="005C09BC" w:rsidRDefault="008B593F" w:rsidP="008A2AC9">
      <w:pPr>
        <w:pStyle w:val="BodyText"/>
        <w:rPr>
          <w:rFonts w:cs="Segoe UI Semilight"/>
          <w:szCs w:val="20"/>
        </w:rPr>
      </w:pPr>
      <w:r w:rsidRPr="009C4415">
        <w:t>Vegetation treatment</w:t>
      </w:r>
      <w:r w:rsidR="00276173">
        <w:t xml:space="preserve"> project</w:t>
      </w:r>
      <w:r w:rsidRPr="009C4415">
        <w:t xml:space="preserve">s occur </w:t>
      </w:r>
      <w:r w:rsidR="005F6795">
        <w:t>on</w:t>
      </w:r>
      <w:r w:rsidRPr="009C4415">
        <w:t xml:space="preserve"> </w:t>
      </w:r>
      <w:r w:rsidR="005F6795">
        <w:t>undeveloped</w:t>
      </w:r>
      <w:r w:rsidRPr="009C4415">
        <w:t xml:space="preserve"> </w:t>
      </w:r>
      <w:r w:rsidR="00276173">
        <w:t>landscapes.</w:t>
      </w:r>
      <w:r w:rsidR="00FB4417">
        <w:t xml:space="preserve"> </w:t>
      </w:r>
      <w:r w:rsidR="00276173">
        <w:t>They may be located</w:t>
      </w:r>
      <w:r w:rsidR="005F6795">
        <w:t xml:space="preserve"> next to urban land uses </w:t>
      </w:r>
      <w:r w:rsidR="00276173">
        <w:t>or</w:t>
      </w:r>
      <w:r w:rsidR="005F6795">
        <w:t xml:space="preserve"> in rural locations </w:t>
      </w:r>
      <w:r w:rsidR="00276173">
        <w:t xml:space="preserve">well </w:t>
      </w:r>
      <w:r w:rsidRPr="009C4415">
        <w:t xml:space="preserve">outside of </w:t>
      </w:r>
      <w:r w:rsidR="005F6795">
        <w:t>metropolitan areas</w:t>
      </w:r>
      <w:r w:rsidR="00B51A63">
        <w:t>. D</w:t>
      </w:r>
      <w:r w:rsidR="007D39F2" w:rsidRPr="009C4415">
        <w:t>ue to the variability of the scale</w:t>
      </w:r>
      <w:r w:rsidR="00276173">
        <w:t xml:space="preserve"> and </w:t>
      </w:r>
      <w:r w:rsidR="007D39F2" w:rsidRPr="009C4415">
        <w:t>location</w:t>
      </w:r>
      <w:r w:rsidR="005F6795">
        <w:t>,</w:t>
      </w:r>
      <w:r w:rsidR="00AD58EB">
        <w:t xml:space="preserve"> </w:t>
      </w:r>
      <w:r w:rsidR="00D346C4">
        <w:t>the</w:t>
      </w:r>
      <w:r w:rsidR="009C4415">
        <w:t xml:space="preserve"> </w:t>
      </w:r>
      <w:r w:rsidR="005F6795">
        <w:t xml:space="preserve">number of </w:t>
      </w:r>
      <w:r w:rsidR="009C4415">
        <w:t>vehicle trip</w:t>
      </w:r>
      <w:r w:rsidR="005F6795">
        <w:t xml:space="preserve">s </w:t>
      </w:r>
      <w:r w:rsidR="00D346C4">
        <w:t>and trip length</w:t>
      </w:r>
      <w:r w:rsidR="00AD58EB">
        <w:t>s</w:t>
      </w:r>
      <w:r w:rsidR="00D346C4">
        <w:t xml:space="preserve"> </w:t>
      </w:r>
      <w:r w:rsidR="005F6795">
        <w:t xml:space="preserve">are not feasible to </w:t>
      </w:r>
      <w:r w:rsidR="005F5407">
        <w:t>precisely</w:t>
      </w:r>
      <w:r w:rsidR="005F6795">
        <w:t xml:space="preserve"> predict</w:t>
      </w:r>
      <w:r w:rsidR="005F5407">
        <w:t xml:space="preserve"> at this time, but they would typically require </w:t>
      </w:r>
      <w:r w:rsidR="00276173">
        <w:t>a small number of</w:t>
      </w:r>
      <w:r w:rsidR="005F5407">
        <w:t xml:space="preserve"> trips per day on an individual basis, considering that </w:t>
      </w:r>
      <w:r w:rsidR="00276173">
        <w:t>v</w:t>
      </w:r>
      <w:r w:rsidR="00AD58EB">
        <w:t xml:space="preserve">egetation treatment projects are generally consistent with construction activities in terms of </w:t>
      </w:r>
      <w:r w:rsidR="00A04A15">
        <w:t xml:space="preserve">the </w:t>
      </w:r>
      <w:r w:rsidR="00AD58EB">
        <w:t xml:space="preserve">temporary nature of activities, trip generation characteristics, and types of vehicles and equipment </w:t>
      </w:r>
      <w:r w:rsidR="002C52BA">
        <w:t>required</w:t>
      </w:r>
      <w:r w:rsidR="00AD58EB">
        <w:t xml:space="preserve">. </w:t>
      </w:r>
      <w:r w:rsidR="001A17E2" w:rsidRPr="001A17E2">
        <w:t>T</w:t>
      </w:r>
      <w:r w:rsidR="0071370E" w:rsidRPr="001A17E2">
        <w:t xml:space="preserve">he Technical Advisory </w:t>
      </w:r>
      <w:r w:rsidR="005F6795">
        <w:t xml:space="preserve">on Evaluating Transportation Impacts (OPR 2018) </w:t>
      </w:r>
      <w:r w:rsidR="0071370E" w:rsidRPr="001A17E2">
        <w:t>notes that</w:t>
      </w:r>
      <w:r w:rsidR="005F6795" w:rsidRPr="005F6795">
        <w:t xml:space="preserve"> </w:t>
      </w:r>
      <w:r w:rsidR="005F6795" w:rsidRPr="001A17E2">
        <w:t>projects that generate or attract fewer than 110 trips per day generally may be assumed to cause a less-than-significant transportation impact</w:t>
      </w:r>
      <w:r w:rsidR="005F6795">
        <w:t>,</w:t>
      </w:r>
      <w:r w:rsidR="0071370E" w:rsidRPr="001A17E2">
        <w:t xml:space="preserve"> absent substantial evidence indicating </w:t>
      </w:r>
      <w:r w:rsidR="005F6795">
        <w:t>otherwise</w:t>
      </w:r>
      <w:r w:rsidR="0071370E" w:rsidRPr="001A17E2">
        <w:t xml:space="preserve"> (</w:t>
      </w:r>
      <w:bookmarkStart w:id="21" w:name="_Hlk8200898"/>
      <w:r w:rsidR="0071370E" w:rsidRPr="001A17E2">
        <w:t>OPR 2018</w:t>
      </w:r>
      <w:bookmarkEnd w:id="21"/>
      <w:r w:rsidR="0071370E" w:rsidRPr="001A17E2">
        <w:t xml:space="preserve">). </w:t>
      </w:r>
      <w:r w:rsidR="000F30C8">
        <w:t>I</w:t>
      </w:r>
      <w:r w:rsidR="001A17E2" w:rsidRPr="005D089C">
        <w:t>ndividual vegetation treatment projects under the CalVTP are likely to generate fewer than 110 trips per day</w:t>
      </w:r>
      <w:r w:rsidR="005F5407">
        <w:t xml:space="preserve">, </w:t>
      </w:r>
      <w:r w:rsidR="005C09BC">
        <w:t xml:space="preserve">recognizing that </w:t>
      </w:r>
      <w:r w:rsidR="00D265F2">
        <w:t>would accommodate up to</w:t>
      </w:r>
      <w:r w:rsidR="005C09BC">
        <w:t xml:space="preserve"> 50 vehicles </w:t>
      </w:r>
      <w:r w:rsidR="00D265F2">
        <w:t>bringing crews and equipment to</w:t>
      </w:r>
      <w:r w:rsidR="005C09BC">
        <w:t xml:space="preserve"> a treatment site in a day</w:t>
      </w:r>
      <w:r w:rsidR="00D265F2">
        <w:t xml:space="preserve"> (i.e., 100 trips commuting to and from a treatment site each day, plus a few additional incidental trips during the day)</w:t>
      </w:r>
      <w:r w:rsidR="005C09BC">
        <w:t>.</w:t>
      </w:r>
      <w:r w:rsidR="00FB4417">
        <w:t xml:space="preserve"> </w:t>
      </w:r>
      <w:r w:rsidR="0071370E" w:rsidRPr="005D089C">
        <w:t xml:space="preserve">Therefore, </w:t>
      </w:r>
      <w:r w:rsidR="005D089C" w:rsidRPr="005D089C">
        <w:t xml:space="preserve">using OPR guidance, </w:t>
      </w:r>
      <w:r w:rsidR="0071370E" w:rsidRPr="005D089C">
        <w:t>individual</w:t>
      </w:r>
      <w:r w:rsidR="005D089C" w:rsidRPr="005D089C">
        <w:t xml:space="preserve"> </w:t>
      </w:r>
      <w:r w:rsidR="005D089C" w:rsidRPr="005C09BC">
        <w:rPr>
          <w:rFonts w:cs="Segoe UI Semilight"/>
          <w:szCs w:val="20"/>
        </w:rPr>
        <w:t xml:space="preserve">vegetation treatments that would generate fewer than 110 trips per day would </w:t>
      </w:r>
      <w:r w:rsidR="0071370E" w:rsidRPr="005C09BC">
        <w:rPr>
          <w:rFonts w:cs="Segoe UI Semilight"/>
          <w:szCs w:val="20"/>
        </w:rPr>
        <w:t>result in a less</w:t>
      </w:r>
      <w:r w:rsidR="002C52BA" w:rsidRPr="005C09BC">
        <w:rPr>
          <w:rFonts w:cs="Segoe UI Semilight"/>
          <w:szCs w:val="20"/>
        </w:rPr>
        <w:t>-</w:t>
      </w:r>
      <w:r w:rsidR="0071370E" w:rsidRPr="005C09BC">
        <w:rPr>
          <w:rFonts w:cs="Segoe UI Semilight"/>
          <w:szCs w:val="20"/>
        </w:rPr>
        <w:t>than</w:t>
      </w:r>
      <w:r w:rsidR="002C52BA" w:rsidRPr="005C09BC">
        <w:rPr>
          <w:rFonts w:cs="Segoe UI Semilight"/>
          <w:szCs w:val="20"/>
        </w:rPr>
        <w:t>-</w:t>
      </w:r>
      <w:r w:rsidR="0071370E" w:rsidRPr="005C09BC">
        <w:rPr>
          <w:rFonts w:cs="Segoe UI Semilight"/>
          <w:szCs w:val="20"/>
        </w:rPr>
        <w:t>significant VMT impact.</w:t>
      </w:r>
      <w:r w:rsidR="00FB4417">
        <w:rPr>
          <w:rFonts w:cs="Segoe UI Semilight"/>
          <w:szCs w:val="20"/>
        </w:rPr>
        <w:t xml:space="preserve"> </w:t>
      </w:r>
    </w:p>
    <w:p w14:paraId="0C5CFD41" w14:textId="0A455B41" w:rsidR="0074027F" w:rsidRDefault="00276173" w:rsidP="005A1022">
      <w:pPr>
        <w:pStyle w:val="BodyText"/>
      </w:pPr>
      <w:r>
        <w:rPr>
          <w:bCs/>
        </w:rPr>
        <w:t xml:space="preserve">The change in VMT considered in this PEIR </w:t>
      </w:r>
      <w:r w:rsidR="00D265F2">
        <w:rPr>
          <w:bCs/>
        </w:rPr>
        <w:t xml:space="preserve">would be </w:t>
      </w:r>
      <w:r>
        <w:rPr>
          <w:bCs/>
        </w:rPr>
        <w:t xml:space="preserve">not only for individual treatment projects, but also for the proposed CalVTP program as a whole. </w:t>
      </w:r>
      <w:r w:rsidR="00D265F2">
        <w:rPr>
          <w:bCs/>
        </w:rPr>
        <w:t>Individual treatment projects would contribute to the total annual change in VMT attributable to the CalVTP</w:t>
      </w:r>
      <w:r w:rsidR="00D265F2" w:rsidRPr="001A17E2">
        <w:rPr>
          <w:bCs/>
        </w:rPr>
        <w:t>.</w:t>
      </w:r>
      <w:r w:rsidR="00D265F2">
        <w:rPr>
          <w:bCs/>
        </w:rPr>
        <w:t xml:space="preserve"> </w:t>
      </w:r>
      <w:r w:rsidR="005C09BC">
        <w:t>The VMT of the total annual program would need to be compared to a different threshold</w:t>
      </w:r>
      <w:r>
        <w:t xml:space="preserve"> than 110 trips per day</w:t>
      </w:r>
      <w:r w:rsidR="005C09BC">
        <w:t>, because it comprises many</w:t>
      </w:r>
      <w:r w:rsidR="005C09BC" w:rsidRPr="005C09BC">
        <w:t xml:space="preserve"> </w:t>
      </w:r>
      <w:r w:rsidR="005C09BC">
        <w:t xml:space="preserve">individual </w:t>
      </w:r>
      <w:r w:rsidR="0074027F">
        <w:t xml:space="preserve">vegetation </w:t>
      </w:r>
      <w:r w:rsidR="005C09BC">
        <w:t xml:space="preserve">treatment projects carried out each year with locations potentially across much of the state. The Technical Advisory describes no scenario </w:t>
      </w:r>
      <w:r w:rsidR="0074027F">
        <w:t>analogous to th</w:t>
      </w:r>
      <w:r w:rsidR="005C09BC">
        <w:t xml:space="preserve">e </w:t>
      </w:r>
      <w:r w:rsidR="00D265F2">
        <w:t xml:space="preserve">overall </w:t>
      </w:r>
      <w:r w:rsidR="005C09BC">
        <w:t>CalVTP, i.e., where a natural resources management program is proposed to consist of an array of individual</w:t>
      </w:r>
      <w:r w:rsidR="00D265F2">
        <w:t>,</w:t>
      </w:r>
      <w:r w:rsidR="005C09BC">
        <w:t xml:space="preserve"> in-field activities on different sites over a broad geography.</w:t>
      </w:r>
      <w:r w:rsidR="00FB4417">
        <w:t xml:space="preserve"> </w:t>
      </w:r>
      <w:r w:rsidR="005C09BC">
        <w:t xml:space="preserve">Inherently, managing trip length is not feasible for such a natural resources management program scenario, because of the variability of location of individual activities, broad geography of the program, and special skill set of vegetation treatment workers. </w:t>
      </w:r>
      <w:r>
        <w:rPr>
          <w:bCs/>
        </w:rPr>
        <w:t xml:space="preserve">Therefore, qualitative analysis allowed by </w:t>
      </w:r>
      <w:r w:rsidRPr="00F07793">
        <w:rPr>
          <w:bCs/>
        </w:rPr>
        <w:t xml:space="preserve">Section 15064.3(b)(3) </w:t>
      </w:r>
      <w:r>
        <w:rPr>
          <w:bCs/>
        </w:rPr>
        <w:t xml:space="preserve">provides the most applicable approach for analyzing </w:t>
      </w:r>
      <w:r w:rsidRPr="00A04A15">
        <w:rPr>
          <w:bCs/>
        </w:rPr>
        <w:t>the change in VMT</w:t>
      </w:r>
      <w:r>
        <w:rPr>
          <w:bCs/>
        </w:rPr>
        <w:t xml:space="preserve"> resulting from implementation of the CalVTP.</w:t>
      </w:r>
    </w:p>
    <w:p w14:paraId="012F7F07" w14:textId="6646FBA4" w:rsidR="00CF0BE7" w:rsidRPr="005C09BC" w:rsidRDefault="005C09BC" w:rsidP="005A1022">
      <w:pPr>
        <w:pStyle w:val="BodyText"/>
      </w:pPr>
      <w:r>
        <w:t xml:space="preserve">Given the absence of a quantitative method or applicable </w:t>
      </w:r>
      <w:r w:rsidR="004A13A5">
        <w:t xml:space="preserve">Technical Advisory scenario, this PEIR relies on fundamental CEQA principles for </w:t>
      </w:r>
      <w:r w:rsidR="0074027F">
        <w:t xml:space="preserve">defining a qualitative </w:t>
      </w:r>
      <w:r w:rsidR="004A13A5">
        <w:t>threshold of significance</w:t>
      </w:r>
      <w:r w:rsidR="0074027F" w:rsidRPr="0074027F">
        <w:t xml:space="preserve"> </w:t>
      </w:r>
      <w:r w:rsidR="0074027F">
        <w:t>for VMT</w:t>
      </w:r>
      <w:r w:rsidR="004A13A5">
        <w:t>.</w:t>
      </w:r>
      <w:r w:rsidR="00FB4417">
        <w:t xml:space="preserve"> </w:t>
      </w:r>
      <w:r w:rsidR="00464E41">
        <w:t xml:space="preserve">The statutory and regulatory definition of </w:t>
      </w:r>
      <w:r w:rsidR="00FB4417">
        <w:t>“</w:t>
      </w:r>
      <w:r w:rsidR="00464E41">
        <w:t>significant effect on the environment</w:t>
      </w:r>
      <w:r w:rsidR="00FB4417">
        <w:t>”</w:t>
      </w:r>
      <w:r w:rsidR="00464E41">
        <w:t xml:space="preserve"> provides the fundamental principle applicable to thresholds of significance. </w:t>
      </w:r>
      <w:r w:rsidR="0074027F">
        <w:t xml:space="preserve">A significant effect on the environment is defined in CEQA as a </w:t>
      </w:r>
      <w:r w:rsidR="00FB4417">
        <w:t>“</w:t>
      </w:r>
      <w:r w:rsidR="0074027F">
        <w:t xml:space="preserve">substantial or potentially substantial adverse change in </w:t>
      </w:r>
      <w:r w:rsidR="0074027F">
        <w:lastRenderedPageBreak/>
        <w:t>the environment.</w:t>
      </w:r>
      <w:r w:rsidR="00FB4417">
        <w:t>”</w:t>
      </w:r>
      <w:r w:rsidR="0074027F">
        <w:t xml:space="preserve"> </w:t>
      </w:r>
      <w:r w:rsidR="00D265F2">
        <w:t>(</w:t>
      </w:r>
      <w:r w:rsidR="0074027F">
        <w:t>P</w:t>
      </w:r>
      <w:r w:rsidR="00D265F2">
        <w:t>RC</w:t>
      </w:r>
      <w:r w:rsidR="0074027F">
        <w:t xml:space="preserve"> Section 21068). For purposes of PRC Section 21100, governing actions for proposed state projects, subpart (a) limits significant effects on the environment to </w:t>
      </w:r>
      <w:r w:rsidR="00FB4417">
        <w:t>“</w:t>
      </w:r>
      <w:r w:rsidR="0074027F">
        <w:t>substantial or potentially substantial adverse changes in physical conditions…</w:t>
      </w:r>
      <w:r w:rsidR="00FB4417">
        <w:t xml:space="preserve">” </w:t>
      </w:r>
      <w:r w:rsidR="0074027F">
        <w:t>This definition of significant effect on the environment is repeated in Sections 15002(g) in Article 1, General, under Section 15002, General Concepts, and 15382 in Article 20, Definitions.</w:t>
      </w:r>
      <w:r w:rsidR="00FB4417">
        <w:t xml:space="preserve"> </w:t>
      </w:r>
      <w:r w:rsidR="00464E41">
        <w:t xml:space="preserve">Based on these provisions, this PEIR considers whether an adverse change in physical conditions would occur. In the case of VMT, an adverse change would be an increase in VMT, because statutory </w:t>
      </w:r>
      <w:r w:rsidR="00D265F2">
        <w:t xml:space="preserve">environmental </w:t>
      </w:r>
      <w:r w:rsidR="00464E41">
        <w:t>policy seeks to decrease VMT.</w:t>
      </w:r>
      <w:r w:rsidR="00FB4417">
        <w:t xml:space="preserve"> </w:t>
      </w:r>
      <w:r w:rsidR="00464E41">
        <w:t xml:space="preserve">Consequently, </w:t>
      </w:r>
      <w:r w:rsidR="00D265F2">
        <w:t>a</w:t>
      </w:r>
      <w:r w:rsidR="00464E41">
        <w:t xml:space="preserve"> qualitative threshold of no net increase in VMT is used in this PEIR to determine significance of the annual implementation of the CalVTP program.</w:t>
      </w:r>
      <w:r w:rsidR="00FB4417">
        <w:t xml:space="preserve"> </w:t>
      </w:r>
      <w:r w:rsidR="00D265F2">
        <w:t>A</w:t>
      </w:r>
      <w:r w:rsidR="007372C4" w:rsidRPr="005C09BC">
        <w:t xml:space="preserve"> </w:t>
      </w:r>
      <w:r w:rsidR="00D265F2">
        <w:t>relative</w:t>
      </w:r>
      <w:r w:rsidR="0018473E" w:rsidRPr="005C09BC">
        <w:t xml:space="preserve"> </w:t>
      </w:r>
      <w:r w:rsidR="007372C4" w:rsidRPr="005C09BC">
        <w:t>increase</w:t>
      </w:r>
      <w:r w:rsidR="0071370E" w:rsidRPr="005C09BC">
        <w:t xml:space="preserve"> in VMT under </w:t>
      </w:r>
      <w:r w:rsidR="005D089C" w:rsidRPr="005C09BC">
        <w:t>the CalVTP</w:t>
      </w:r>
      <w:r w:rsidR="007372C4" w:rsidRPr="005C09BC">
        <w:t xml:space="preserve"> </w:t>
      </w:r>
      <w:r w:rsidR="0018473E" w:rsidRPr="005C09BC">
        <w:t>within the treatable landscape</w:t>
      </w:r>
      <w:r w:rsidR="00D265F2">
        <w:t>,</w:t>
      </w:r>
      <w:r w:rsidR="0071370E" w:rsidRPr="005C09BC">
        <w:t xml:space="preserve"> as compared to existing conditions</w:t>
      </w:r>
      <w:r w:rsidR="00D265F2">
        <w:t>,</w:t>
      </w:r>
      <w:r w:rsidR="0071370E" w:rsidRPr="005C09BC">
        <w:t xml:space="preserve"> </w:t>
      </w:r>
      <w:r w:rsidR="007372C4" w:rsidRPr="005C09BC">
        <w:t>is</w:t>
      </w:r>
      <w:r w:rsidR="0071370E" w:rsidRPr="005C09BC">
        <w:t xml:space="preserve"> be </w:t>
      </w:r>
      <w:r w:rsidR="00D265F2">
        <w:t>determined</w:t>
      </w:r>
      <w:r w:rsidR="0071370E" w:rsidRPr="005C09BC">
        <w:t xml:space="preserve"> to result in a significant </w:t>
      </w:r>
      <w:r w:rsidR="00D265F2">
        <w:t>effect on the environment</w:t>
      </w:r>
      <w:r w:rsidR="007372C4" w:rsidRPr="005C09BC">
        <w:t xml:space="preserve"> (see listing under Thresholds of Significance, below)</w:t>
      </w:r>
      <w:r w:rsidR="0071370E" w:rsidRPr="005C09BC">
        <w:t>.</w:t>
      </w:r>
    </w:p>
    <w:p w14:paraId="742631A1" w14:textId="4CA3FAC5" w:rsidR="00435BC0" w:rsidRDefault="00C52B6B" w:rsidP="00435BC0">
      <w:pPr>
        <w:pStyle w:val="Heading4"/>
      </w:pPr>
      <w:r>
        <w:t xml:space="preserve">Thresholds of </w:t>
      </w:r>
      <w:r w:rsidR="00435BC0">
        <w:t>Significance</w:t>
      </w:r>
    </w:p>
    <w:p w14:paraId="5B1AD097" w14:textId="43FC27A2" w:rsidR="007A3928" w:rsidRDefault="001A36DE" w:rsidP="006C09E9">
      <w:pPr>
        <w:pStyle w:val="BodyText"/>
      </w:pPr>
      <w:r>
        <w:t xml:space="preserve">Thresholds of significance are based on Appendix G of the State CEQA Guidelines and professional judgment. </w:t>
      </w:r>
      <w:r w:rsidR="007A3928" w:rsidRPr="00AE575D">
        <w:t xml:space="preserve">The following </w:t>
      </w:r>
      <w:r w:rsidR="00C52B6B">
        <w:t xml:space="preserve">discussion </w:t>
      </w:r>
      <w:r>
        <w:t>identifies</w:t>
      </w:r>
      <w:r w:rsidRPr="00AE575D">
        <w:t xml:space="preserve"> </w:t>
      </w:r>
      <w:r w:rsidR="007A3928" w:rsidRPr="00AE575D">
        <w:t xml:space="preserve">the </w:t>
      </w:r>
      <w:r w:rsidR="00C52B6B">
        <w:t xml:space="preserve">thresholds of </w:t>
      </w:r>
      <w:r w:rsidR="007A3928" w:rsidRPr="00AE575D">
        <w:t xml:space="preserve">significance used to </w:t>
      </w:r>
      <w:r>
        <w:t xml:space="preserve">assess </w:t>
      </w:r>
      <w:r w:rsidR="007A3928" w:rsidRPr="00AE575D">
        <w:t xml:space="preserve">impacts to the transportation and circulation system </w:t>
      </w:r>
      <w:r>
        <w:t>from implementation of treatments under the proposed CalVTP</w:t>
      </w:r>
      <w:r w:rsidR="007A3928" w:rsidRPr="00AE575D">
        <w:t>.</w:t>
      </w:r>
    </w:p>
    <w:p w14:paraId="2D53CC30" w14:textId="6FEA8EF1" w:rsidR="007A3928" w:rsidRPr="00761310" w:rsidRDefault="007372C4" w:rsidP="00393CF0">
      <w:pPr>
        <w:pStyle w:val="BodyText"/>
      </w:pPr>
      <w:r>
        <w:t xml:space="preserve">Implementation of the CalVTP </w:t>
      </w:r>
      <w:r w:rsidR="001A36DE">
        <w:t>would result in a significant</w:t>
      </w:r>
      <w:r>
        <w:t xml:space="preserve"> transportation</w:t>
      </w:r>
      <w:r w:rsidR="001A36DE">
        <w:t xml:space="preserve"> impact if it</w:t>
      </w:r>
      <w:r w:rsidR="007A3928">
        <w:t xml:space="preserve"> </w:t>
      </w:r>
      <w:r w:rsidR="007A3928" w:rsidRPr="00761310">
        <w:t>would:</w:t>
      </w:r>
    </w:p>
    <w:p w14:paraId="02CD1C6A" w14:textId="3DDDF0C4" w:rsidR="007A3928" w:rsidRPr="004D3816" w:rsidRDefault="002345DE" w:rsidP="00EB67A6">
      <w:pPr>
        <w:pStyle w:val="Bullet1"/>
      </w:pPr>
      <w:r>
        <w:t>conflict with a program</w:t>
      </w:r>
      <w:r w:rsidR="003E379C">
        <w:t>,</w:t>
      </w:r>
      <w:r>
        <w:t xml:space="preserve"> plan, </w:t>
      </w:r>
      <w:r w:rsidR="00872CA2">
        <w:t>ordinance</w:t>
      </w:r>
      <w:r>
        <w:t>, or policy</w:t>
      </w:r>
      <w:r w:rsidR="007A3928" w:rsidRPr="004D3816">
        <w:t xml:space="preserve"> </w:t>
      </w:r>
      <w:r w:rsidR="00872CA2">
        <w:t xml:space="preserve">addressing </w:t>
      </w:r>
      <w:r w:rsidR="007B6984">
        <w:t>roadway facilities</w:t>
      </w:r>
      <w:r w:rsidR="007A3928" w:rsidRPr="004D3816">
        <w:t>;</w:t>
      </w:r>
    </w:p>
    <w:p w14:paraId="7532518F" w14:textId="34294ABE" w:rsidR="007A3928" w:rsidRDefault="00516C0C" w:rsidP="00EB67A6">
      <w:pPr>
        <w:pStyle w:val="Bullet1"/>
      </w:pPr>
      <w:r>
        <w:t xml:space="preserve">result </w:t>
      </w:r>
      <w:r w:rsidR="009D4755">
        <w:t>in</w:t>
      </w:r>
      <w:r w:rsidR="009D4755" w:rsidRPr="004D3816">
        <w:t xml:space="preserve"> prolonged</w:t>
      </w:r>
      <w:r w:rsidR="007A3928" w:rsidRPr="004D3816">
        <w:t xml:space="preserve"> road closures</w:t>
      </w:r>
      <w:r w:rsidR="00393CF0">
        <w:t>;</w:t>
      </w:r>
    </w:p>
    <w:p w14:paraId="56CE4EC4" w14:textId="3FA68843" w:rsidR="007B6984" w:rsidRDefault="007B6984" w:rsidP="00EB67A6">
      <w:pPr>
        <w:pStyle w:val="Bullet1"/>
      </w:pPr>
      <w:r>
        <w:t>conflict with a program, plan, ordinance, or policy</w:t>
      </w:r>
      <w:r w:rsidRPr="004D3816">
        <w:t xml:space="preserve"> </w:t>
      </w:r>
      <w:r>
        <w:t>addressing bicycle, pedestrian, and transit facilities</w:t>
      </w:r>
      <w:r w:rsidR="00393CF0">
        <w:t>;</w:t>
      </w:r>
    </w:p>
    <w:p w14:paraId="4BF667CF" w14:textId="3B8DBC15" w:rsidR="00D90F41" w:rsidRDefault="009D4755" w:rsidP="00D90F41">
      <w:pPr>
        <w:pStyle w:val="Bullet1"/>
      </w:pPr>
      <w:r>
        <w:t>s</w:t>
      </w:r>
      <w:r w:rsidR="00424D77">
        <w:t>ubstantially increase hazards due to a geometric design features or incompatible uses</w:t>
      </w:r>
      <w:r w:rsidR="00393CF0">
        <w:t>;</w:t>
      </w:r>
      <w:r w:rsidR="00D90F41" w:rsidRPr="00D90F41">
        <w:t xml:space="preserve"> </w:t>
      </w:r>
    </w:p>
    <w:p w14:paraId="29F59F0B" w14:textId="328B4465" w:rsidR="00424D77" w:rsidRDefault="00316D48" w:rsidP="00424D77">
      <w:pPr>
        <w:pStyle w:val="Bullet1"/>
      </w:pPr>
      <w:r>
        <w:t>r</w:t>
      </w:r>
      <w:r w:rsidR="00424D77">
        <w:t>esult in inadequate emergency access</w:t>
      </w:r>
      <w:r w:rsidR="00393CF0">
        <w:t>; or</w:t>
      </w:r>
    </w:p>
    <w:p w14:paraId="66E37307" w14:textId="6EABAFEB" w:rsidR="00381D6D" w:rsidRPr="00043B88" w:rsidRDefault="00381D6D" w:rsidP="00381D6D">
      <w:pPr>
        <w:pStyle w:val="Bullet1"/>
        <w:spacing w:after="240"/>
      </w:pPr>
      <w:r>
        <w:t>result in a net increase in VMT</w:t>
      </w:r>
      <w:r w:rsidR="00393CF0">
        <w:t>.</w:t>
      </w:r>
    </w:p>
    <w:p w14:paraId="6FC9691B" w14:textId="5BFD1CFD" w:rsidR="00D158A8" w:rsidRDefault="00D158A8" w:rsidP="00D158A8">
      <w:pPr>
        <w:pStyle w:val="Heading4"/>
      </w:pPr>
      <w:r>
        <w:t xml:space="preserve">Issues Not </w:t>
      </w:r>
      <w:r w:rsidR="00DF2BED">
        <w:t>Evaluated</w:t>
      </w:r>
      <w:r>
        <w:t xml:space="preserve"> Further</w:t>
      </w:r>
    </w:p>
    <w:p w14:paraId="2FB4868D" w14:textId="4B88C734" w:rsidR="00AB5BD5" w:rsidRDefault="00F46FE8" w:rsidP="00043B88">
      <w:pPr>
        <w:pStyle w:val="BodyText"/>
      </w:pPr>
      <w:r>
        <w:t>Implementation of the CalVTP</w:t>
      </w:r>
      <w:r w:rsidR="000D45D2" w:rsidRPr="00E65E66">
        <w:t xml:space="preserve"> would not alter the physical transportation network </w:t>
      </w:r>
      <w:r w:rsidR="00E65E66" w:rsidRPr="00E65E66">
        <w:t>surrounding where vegetation treatments would occur</w:t>
      </w:r>
      <w:r w:rsidR="000D45D2" w:rsidRPr="00E65E66">
        <w:t xml:space="preserve">. Therefore, the </w:t>
      </w:r>
      <w:r>
        <w:t>CalVTP</w:t>
      </w:r>
      <w:r w:rsidRPr="00E65E66">
        <w:t xml:space="preserve"> </w:t>
      </w:r>
      <w:r w:rsidR="000D45D2" w:rsidRPr="00E65E66">
        <w:t>would not adversely affect any existing or planned public transit, bicycle, or pedestrian facilities</w:t>
      </w:r>
      <w:r w:rsidR="000D45D2" w:rsidRPr="00C30DE8">
        <w:t xml:space="preserve">. Additionally, </w:t>
      </w:r>
      <w:r w:rsidR="00E65E66" w:rsidRPr="00C30DE8">
        <w:t>due to the temporary nature of the treatment activities at individual locations</w:t>
      </w:r>
      <w:r w:rsidR="00C30DE8" w:rsidRPr="00C30DE8">
        <w:t xml:space="preserve">, the rural character of much of the transportation network in and around the treatable landscape, and the anticipated dispersion of the individual vegetation treatment sites </w:t>
      </w:r>
      <w:r w:rsidR="00070663">
        <w:t>within</w:t>
      </w:r>
      <w:r w:rsidR="00070663" w:rsidRPr="00C30DE8">
        <w:t xml:space="preserve"> </w:t>
      </w:r>
      <w:r w:rsidR="00C30DE8" w:rsidRPr="00C30DE8">
        <w:t xml:space="preserve">the treatable landscape, </w:t>
      </w:r>
      <w:r w:rsidR="000D45D2" w:rsidRPr="00C30DE8">
        <w:t>the</w:t>
      </w:r>
      <w:r w:rsidR="000D45D2" w:rsidRPr="00E65E66">
        <w:t xml:space="preserve"> project would not generate substantial pedestrian, bicycle, </w:t>
      </w:r>
      <w:r w:rsidR="00016047">
        <w:t>or</w:t>
      </w:r>
      <w:r w:rsidR="000D45D2" w:rsidRPr="00E65E66">
        <w:t xml:space="preserve"> transit demand. Thus, the project would </w:t>
      </w:r>
      <w:r w:rsidR="00E730D1">
        <w:t>not conflict with a program, plan, ordinance or policy addressing pedestrian, bicycle, and transit facilities</w:t>
      </w:r>
      <w:r w:rsidR="000D45D2" w:rsidRPr="00E65E66">
        <w:t>. This issue is not discussed further.</w:t>
      </w:r>
    </w:p>
    <w:p w14:paraId="7D75A548" w14:textId="02B216A1" w:rsidR="00855CD8" w:rsidRDefault="00F46FE8" w:rsidP="00043B88">
      <w:pPr>
        <w:pStyle w:val="BodyText"/>
      </w:pPr>
      <w:r>
        <w:t>Implementation of the CalVTP</w:t>
      </w:r>
      <w:r w:rsidR="00855CD8">
        <w:t xml:space="preserve"> would not locate any new development or land uses within the treatable landscape that would require </w:t>
      </w:r>
      <w:r>
        <w:t xml:space="preserve">installation of </w:t>
      </w:r>
      <w:r w:rsidR="00855CD8">
        <w:t xml:space="preserve">emergency access </w:t>
      </w:r>
      <w:r>
        <w:t>routes</w:t>
      </w:r>
      <w:r w:rsidR="00855CD8">
        <w:t>, or alter any existing roadways/emergency access routes.</w:t>
      </w:r>
      <w:r w:rsidR="00FB4417">
        <w:t xml:space="preserve"> </w:t>
      </w:r>
      <w:r>
        <w:t xml:space="preserve">Emergency fire suppression services </w:t>
      </w:r>
      <w:r w:rsidR="00223CCC">
        <w:t xml:space="preserve">to ensure safety </w:t>
      </w:r>
      <w:r>
        <w:t xml:space="preserve">during prescribed burning would be available onsite during the treatment. </w:t>
      </w:r>
      <w:r w:rsidR="00855CD8">
        <w:t xml:space="preserve">Therefore, implementation of the </w:t>
      </w:r>
      <w:r>
        <w:t xml:space="preserve">CalVTP </w:t>
      </w:r>
      <w:r w:rsidR="00855CD8">
        <w:t xml:space="preserve">would not result in a degradation of emergency access. Additionally, prescribed burns, mechanical vegetation treatments, and manual vegetation treatments would always include between one and ten fire engines on-site during treatment activities. Thus, </w:t>
      </w:r>
      <w:r w:rsidR="006E0E9F">
        <w:t>providing on-site emergency services would ensure that</w:t>
      </w:r>
      <w:r w:rsidR="00855CD8">
        <w:t xml:space="preserve"> </w:t>
      </w:r>
      <w:r w:rsidR="006E0E9F">
        <w:t>project-specific activities</w:t>
      </w:r>
      <w:r w:rsidR="00855CD8">
        <w:t xml:space="preserve"> would not result in inadequate emergency access</w:t>
      </w:r>
      <w:r>
        <w:t xml:space="preserve"> to any areas</w:t>
      </w:r>
      <w:r w:rsidR="00855CD8">
        <w:t xml:space="preserve">. This issue is not discussed further. </w:t>
      </w:r>
    </w:p>
    <w:p w14:paraId="5A574CD9" w14:textId="423F42C4" w:rsidR="0038548F" w:rsidRPr="00C36291" w:rsidRDefault="00435BC0" w:rsidP="00C36291">
      <w:pPr>
        <w:pStyle w:val="Heading4"/>
      </w:pPr>
      <w:r>
        <w:lastRenderedPageBreak/>
        <w:t>Impact</w:t>
      </w:r>
      <w:r w:rsidR="00DF2BED">
        <w:t xml:space="preserve"> Analysis</w:t>
      </w:r>
    </w:p>
    <w:p w14:paraId="1126C7DE" w14:textId="32C0A457" w:rsidR="00CC6290" w:rsidRPr="00507E78" w:rsidRDefault="00CC6290" w:rsidP="00CC6290">
      <w:pPr>
        <w:pStyle w:val="ImpactNo"/>
        <w:rPr>
          <w:spacing w:val="-2"/>
        </w:rPr>
      </w:pPr>
      <w:r w:rsidRPr="00507E78">
        <w:rPr>
          <w:spacing w:val="-2"/>
        </w:rPr>
        <w:t xml:space="preserve">Impact </w:t>
      </w:r>
      <w:r w:rsidR="00CA49BF" w:rsidRPr="00507E78">
        <w:rPr>
          <w:spacing w:val="-2"/>
        </w:rPr>
        <w:t>TRAN</w:t>
      </w:r>
      <w:r w:rsidR="00C71CB9" w:rsidRPr="00507E78">
        <w:rPr>
          <w:spacing w:val="-2"/>
        </w:rPr>
        <w:t>-</w:t>
      </w:r>
      <w:r w:rsidR="00D97C8B" w:rsidRPr="00507E78">
        <w:rPr>
          <w:spacing w:val="-2"/>
        </w:rPr>
        <w:t>1</w:t>
      </w:r>
      <w:r w:rsidRPr="00507E78">
        <w:rPr>
          <w:spacing w:val="-2"/>
        </w:rPr>
        <w:t xml:space="preserve">: </w:t>
      </w:r>
      <w:r w:rsidR="003B498B" w:rsidRPr="00507E78">
        <w:rPr>
          <w:spacing w:val="-2"/>
        </w:rPr>
        <w:t xml:space="preserve">Result in </w:t>
      </w:r>
      <w:r w:rsidR="008B2E38" w:rsidRPr="00507E78">
        <w:rPr>
          <w:spacing w:val="-2"/>
        </w:rPr>
        <w:t xml:space="preserve">Temporary Traffic Operations Impacts </w:t>
      </w:r>
      <w:r w:rsidR="00123E07" w:rsidRPr="00507E78">
        <w:rPr>
          <w:spacing w:val="-2"/>
        </w:rPr>
        <w:t xml:space="preserve">by </w:t>
      </w:r>
      <w:r w:rsidR="008B2E38" w:rsidRPr="00507E78">
        <w:rPr>
          <w:spacing w:val="-2"/>
        </w:rPr>
        <w:t xml:space="preserve">Conflicting </w:t>
      </w:r>
      <w:r w:rsidR="00123E07" w:rsidRPr="00507E78">
        <w:rPr>
          <w:spacing w:val="-2"/>
        </w:rPr>
        <w:t xml:space="preserve">with a </w:t>
      </w:r>
      <w:r w:rsidR="008B2E38" w:rsidRPr="00507E78">
        <w:rPr>
          <w:spacing w:val="-2"/>
        </w:rPr>
        <w:t>Program, Plan, Ordinance</w:t>
      </w:r>
      <w:r w:rsidR="00123E07" w:rsidRPr="00507E78">
        <w:rPr>
          <w:spacing w:val="-2"/>
        </w:rPr>
        <w:t xml:space="preserve">, or </w:t>
      </w:r>
      <w:r w:rsidR="008B2E38" w:rsidRPr="00507E78">
        <w:rPr>
          <w:spacing w:val="-2"/>
        </w:rPr>
        <w:t xml:space="preserve">Policy Addressing Roadway Facilities </w:t>
      </w:r>
      <w:r w:rsidR="00123E07" w:rsidRPr="00507E78">
        <w:rPr>
          <w:spacing w:val="-2"/>
        </w:rPr>
        <w:t xml:space="preserve">or </w:t>
      </w:r>
      <w:r w:rsidR="008B2E38" w:rsidRPr="00507E78">
        <w:rPr>
          <w:spacing w:val="-2"/>
        </w:rPr>
        <w:t>Prolonged Road Closures</w:t>
      </w:r>
    </w:p>
    <w:p w14:paraId="23569065" w14:textId="3196F0EB" w:rsidR="00E56BAA" w:rsidRPr="00CC6793" w:rsidRDefault="0075191C" w:rsidP="00B93CBF">
      <w:pPr>
        <w:pStyle w:val="Impactdescription"/>
      </w:pPr>
      <w:bookmarkStart w:id="22" w:name="_Toc464034589"/>
      <w:r>
        <w:t>Vegetation treatment</w:t>
      </w:r>
      <w:r w:rsidR="00223CCC">
        <w:t>s</w:t>
      </w:r>
      <w:r w:rsidRPr="00754BD5">
        <w:t xml:space="preserve"> </w:t>
      </w:r>
      <w:r>
        <w:t xml:space="preserve">implemented </w:t>
      </w:r>
      <w:r w:rsidRPr="00754BD5">
        <w:t>under th</w:t>
      </w:r>
      <w:r>
        <w:t>e</w:t>
      </w:r>
      <w:r w:rsidRPr="00754BD5">
        <w:t xml:space="preserve"> </w:t>
      </w:r>
      <w:r>
        <w:t>CalVTP</w:t>
      </w:r>
      <w:r w:rsidRPr="00754BD5">
        <w:t xml:space="preserve"> would adhere to the SPRs</w:t>
      </w:r>
      <w:r>
        <w:t xml:space="preserve"> that require consistency with local </w:t>
      </w:r>
      <w:r w:rsidR="00D4563E">
        <w:t xml:space="preserve">traffic operations </w:t>
      </w:r>
      <w:r w:rsidRPr="00D6194B">
        <w:t>policies</w:t>
      </w:r>
      <w:r>
        <w:t xml:space="preserve"> and </w:t>
      </w:r>
      <w:r w:rsidR="00C761D2" w:rsidRPr="00B93CBF">
        <w:t>standards</w:t>
      </w:r>
      <w:r>
        <w:t xml:space="preserve"> to the extent the project is subject to them, and </w:t>
      </w:r>
      <w:r w:rsidR="00D4563E">
        <w:t xml:space="preserve">would require that a TMP be prepared to manage and minimize potential temporary traffic operations </w:t>
      </w:r>
      <w:r w:rsidR="00C761D2">
        <w:t>effects</w:t>
      </w:r>
      <w:r w:rsidR="00D4563E">
        <w:t xml:space="preserve"> </w:t>
      </w:r>
      <w:r w:rsidR="00C761D2">
        <w:t>resulting from</w:t>
      </w:r>
      <w:r w:rsidR="00D4563E">
        <w:t xml:space="preserve"> individual vegetation treatment </w:t>
      </w:r>
      <w:r w:rsidR="00223CCC">
        <w:t>projects</w:t>
      </w:r>
      <w:r w:rsidR="00D4563E">
        <w:t xml:space="preserve">. Additionally, </w:t>
      </w:r>
      <w:r w:rsidR="00C761D2">
        <w:t>effects</w:t>
      </w:r>
      <w:r w:rsidR="00D4563E">
        <w:t xml:space="preserve"> </w:t>
      </w:r>
      <w:r w:rsidR="00D4563E" w:rsidRPr="00384F26">
        <w:t xml:space="preserve">related to </w:t>
      </w:r>
      <w:r w:rsidR="00223CCC">
        <w:t>t</w:t>
      </w:r>
      <w:r w:rsidR="00223CCC" w:rsidRPr="00384F26">
        <w:t>raffic</w:t>
      </w:r>
      <w:r w:rsidR="00223CCC">
        <w:t xml:space="preserve"> operations during </w:t>
      </w:r>
      <w:r w:rsidR="00D4563E" w:rsidRPr="00384F26">
        <w:t>vegetation treatment</w:t>
      </w:r>
      <w:r w:rsidR="00223CCC">
        <w:t>s</w:t>
      </w:r>
      <w:r w:rsidR="00D4563E" w:rsidRPr="00384F26">
        <w:t xml:space="preserve"> under the CalVTP would be localized and temporary</w:t>
      </w:r>
      <w:r w:rsidR="00D4563E">
        <w:t xml:space="preserve">. </w:t>
      </w:r>
      <w:r w:rsidR="00D4563E" w:rsidRPr="00F9288D">
        <w:t xml:space="preserve">Therefore, </w:t>
      </w:r>
      <w:r w:rsidR="00D4563E">
        <w:t xml:space="preserve">temporary </w:t>
      </w:r>
      <w:r w:rsidR="00D4563E" w:rsidRPr="00F9288D">
        <w:t xml:space="preserve">traffic operations impacts would be </w:t>
      </w:r>
      <w:r w:rsidR="00D4563E" w:rsidRPr="00F9288D">
        <w:rPr>
          <w:b/>
        </w:rPr>
        <w:t>less than significant.</w:t>
      </w:r>
    </w:p>
    <w:p w14:paraId="6F604AC5" w14:textId="79FE5544" w:rsidR="00C76666" w:rsidRDefault="00C55869" w:rsidP="00767814">
      <w:pPr>
        <w:pStyle w:val="BodyText"/>
      </w:pPr>
      <w:r w:rsidRPr="001529CA">
        <w:t>The implementation of vegetation treatment</w:t>
      </w:r>
      <w:r w:rsidR="007777F3">
        <w:t>s</w:t>
      </w:r>
      <w:r w:rsidRPr="001529CA">
        <w:t xml:space="preserve"> </w:t>
      </w:r>
      <w:r w:rsidR="00841E48">
        <w:t xml:space="preserve">under </w:t>
      </w:r>
      <w:r w:rsidR="00384F26">
        <w:t xml:space="preserve">the </w:t>
      </w:r>
      <w:r w:rsidR="00841E48">
        <w:t>CalVTP</w:t>
      </w:r>
      <w:r w:rsidRPr="001529CA">
        <w:t xml:space="preserve"> would</w:t>
      </w:r>
      <w:r w:rsidR="00B30FC7">
        <w:t xml:space="preserve"> not</w:t>
      </w:r>
      <w:r w:rsidRPr="001529CA">
        <w:t xml:space="preserve"> result </w:t>
      </w:r>
      <w:r w:rsidR="00B30FC7">
        <w:t>in long-term operational increases in vehicular traffic along roadways surrounding vegetation treatment site</w:t>
      </w:r>
      <w:r w:rsidR="0040265A">
        <w:t>s</w:t>
      </w:r>
      <w:r w:rsidR="00223CCC">
        <w:t xml:space="preserve"> because </w:t>
      </w:r>
      <w:r w:rsidR="0098157C">
        <w:t>vegetation treatments are temporary in nature.</w:t>
      </w:r>
      <w:r w:rsidR="007B6984">
        <w:t xml:space="preserve"> </w:t>
      </w:r>
      <w:r w:rsidR="00B30FC7">
        <w:t xml:space="preserve">However, vegetation </w:t>
      </w:r>
      <w:r w:rsidR="00DB749C">
        <w:t>treatment projects</w:t>
      </w:r>
      <w:r w:rsidR="00841E48">
        <w:t xml:space="preserve"> under </w:t>
      </w:r>
      <w:r w:rsidR="00384F26">
        <w:t xml:space="preserve">the </w:t>
      </w:r>
      <w:r w:rsidR="00841E48">
        <w:t>CalVTP</w:t>
      </w:r>
      <w:r w:rsidR="00B30FC7">
        <w:t xml:space="preserve"> would </w:t>
      </w:r>
      <w:r w:rsidRPr="001529CA">
        <w:t>temporar</w:t>
      </w:r>
      <w:r w:rsidR="00223CCC">
        <w:t>ily</w:t>
      </w:r>
      <w:r w:rsidRPr="001529CA">
        <w:t xml:space="preserve"> increase </w:t>
      </w:r>
      <w:r w:rsidR="001529CA" w:rsidRPr="001529CA">
        <w:t xml:space="preserve">vehicular traffic along </w:t>
      </w:r>
      <w:r w:rsidR="00A73C64">
        <w:t xml:space="preserve">roadways used to access treatment </w:t>
      </w:r>
      <w:r w:rsidR="00223CCC">
        <w:t>areas</w:t>
      </w:r>
      <w:r w:rsidR="00A73C64">
        <w:t xml:space="preserve">. </w:t>
      </w:r>
      <w:r w:rsidR="00C76666">
        <w:t>Treatment-related traffic would include h</w:t>
      </w:r>
      <w:r w:rsidR="001529CA" w:rsidRPr="00680334">
        <w:t>eavy</w:t>
      </w:r>
      <w:r w:rsidR="00223CCC">
        <w:t>-</w:t>
      </w:r>
      <w:r w:rsidR="001529CA" w:rsidRPr="00680334">
        <w:t>vehicle</w:t>
      </w:r>
      <w:r w:rsidR="00545D14">
        <w:t xml:space="preserve"> trips</w:t>
      </w:r>
      <w:r w:rsidR="001529CA" w:rsidRPr="00680334">
        <w:t xml:space="preserve"> </w:t>
      </w:r>
      <w:r w:rsidR="00C76666">
        <w:t>to haul equipment and materials</w:t>
      </w:r>
      <w:r w:rsidR="00841E48">
        <w:t>,</w:t>
      </w:r>
      <w:r w:rsidR="00C76666">
        <w:t xml:space="preserve"> and trips associated with the workers commuting</w:t>
      </w:r>
      <w:r w:rsidR="00545D14">
        <w:t xml:space="preserve"> </w:t>
      </w:r>
      <w:r w:rsidR="00C76666">
        <w:t xml:space="preserve">to and from the </w:t>
      </w:r>
      <w:r w:rsidR="00223CCC">
        <w:t>treatment areas</w:t>
      </w:r>
      <w:r w:rsidR="00C76666">
        <w:t>.</w:t>
      </w:r>
      <w:r w:rsidR="00545D14">
        <w:t xml:space="preserve"> </w:t>
      </w:r>
      <w:r w:rsidR="00C76666">
        <w:t xml:space="preserve">The number of haul trips and workers trips to and from the </w:t>
      </w:r>
      <w:r w:rsidR="0098157C">
        <w:t xml:space="preserve">treatment areas </w:t>
      </w:r>
      <w:r w:rsidR="00C76666">
        <w:t xml:space="preserve">would vary </w:t>
      </w:r>
      <w:r w:rsidR="00B06273">
        <w:t xml:space="preserve">based on the size of the area being treated, the type of treatment being implemented, and </w:t>
      </w:r>
      <w:r w:rsidR="00223CCC">
        <w:t xml:space="preserve">the </w:t>
      </w:r>
      <w:r w:rsidR="0054240D">
        <w:t xml:space="preserve">duration of the </w:t>
      </w:r>
      <w:r w:rsidR="00DB749C">
        <w:t>vegetation treatments</w:t>
      </w:r>
      <w:r w:rsidR="0054240D">
        <w:t xml:space="preserve">. </w:t>
      </w:r>
      <w:r w:rsidR="00B45E92">
        <w:t xml:space="preserve">Additionally, the vegetative debris produced by mechanical or manual treatments may be processed into several products: electricity, soil additives and amendments, engineered/composite wood, firewood, paper, densified wood, and potentially biofuels. This could result in additional haul truck trips to processing facilities. </w:t>
      </w:r>
      <w:r w:rsidR="00B30FC7">
        <w:t>Due to the variability of the scale, location, and duration of vegetation treatment</w:t>
      </w:r>
      <w:r w:rsidR="00223CCC">
        <w:t xml:space="preserve"> projects</w:t>
      </w:r>
      <w:r w:rsidR="00B30FC7">
        <w:t xml:space="preserve"> that could be </w:t>
      </w:r>
      <w:r w:rsidR="00223CCC">
        <w:t>implemented</w:t>
      </w:r>
      <w:r w:rsidR="00B30FC7">
        <w:t xml:space="preserve"> under the CalVTP, </w:t>
      </w:r>
      <w:r w:rsidR="00B30FC7" w:rsidRPr="00B30FC7">
        <w:t>the number of trucks, truck routing, number of employees, employee parking, truck idling, lane closures, and a variety of other treatment-related activities are unknown at this time. Therefore, it would be speculative to conduct any type of quantitative analysis.</w:t>
      </w:r>
      <w:r w:rsidR="00B30FC7">
        <w:t xml:space="preserve"> </w:t>
      </w:r>
    </w:p>
    <w:p w14:paraId="5E542FC9" w14:textId="098B0A79" w:rsidR="0048528C" w:rsidRPr="0048528C" w:rsidRDefault="00841E48" w:rsidP="00767814">
      <w:pPr>
        <w:pStyle w:val="BodyText"/>
      </w:pPr>
      <w:r w:rsidRPr="004958A2">
        <w:t xml:space="preserve">As shown in Table </w:t>
      </w:r>
      <w:r w:rsidR="004958A2">
        <w:t>3.15-4</w:t>
      </w:r>
      <w:r w:rsidRPr="004958A2">
        <w:t xml:space="preserve">, </w:t>
      </w:r>
      <w:r w:rsidR="004958A2">
        <w:t xml:space="preserve">between 20 and 45 workers would be necessary for the most labor-intensive vegetation treatment </w:t>
      </w:r>
      <w:r w:rsidR="00001376">
        <w:t xml:space="preserve">projects </w:t>
      </w:r>
      <w:r w:rsidR="00223CCC">
        <w:t xml:space="preserve">under a typical </w:t>
      </w:r>
      <w:r w:rsidR="00001376">
        <w:t xml:space="preserve">CalVTP </w:t>
      </w:r>
      <w:r w:rsidR="00223CCC">
        <w:t>scenario</w:t>
      </w:r>
      <w:r w:rsidR="004958A2" w:rsidRPr="004958A2">
        <w:t>,</w:t>
      </w:r>
      <w:r w:rsidR="00C55869" w:rsidRPr="004958A2">
        <w:t xml:space="preserve"> and</w:t>
      </w:r>
      <w:r w:rsidRPr="004958A2">
        <w:t xml:space="preserve"> the hauling of</w:t>
      </w:r>
      <w:r w:rsidR="00C55869" w:rsidRPr="004958A2">
        <w:t xml:space="preserve"> heavy equipment would </w:t>
      </w:r>
      <w:r w:rsidRPr="004958A2">
        <w:t xml:space="preserve">be limited to </w:t>
      </w:r>
      <w:r w:rsidR="004958A2" w:rsidRPr="004958A2">
        <w:t xml:space="preserve">the </w:t>
      </w:r>
      <w:r w:rsidR="00B73702">
        <w:t xml:space="preserve">trips needed to get the equipment to and from the individual vegetation treatment </w:t>
      </w:r>
      <w:r w:rsidR="00001376">
        <w:t>areas</w:t>
      </w:r>
      <w:r w:rsidR="004958A2" w:rsidRPr="004958A2">
        <w:t xml:space="preserve">. </w:t>
      </w:r>
      <w:r w:rsidR="00223CCC">
        <w:t xml:space="preserve">These trips </w:t>
      </w:r>
      <w:r w:rsidR="00A63A1D" w:rsidRPr="004958A2">
        <w:t>would be short</w:t>
      </w:r>
      <w:r w:rsidR="00451738">
        <w:t>-</w:t>
      </w:r>
      <w:r w:rsidR="00A63A1D" w:rsidRPr="004958A2">
        <w:t>term</w:t>
      </w:r>
      <w:r w:rsidR="008D42ED">
        <w:t xml:space="preserve"> and</w:t>
      </w:r>
      <w:r w:rsidR="0092531C">
        <w:t xml:space="preserve"> in some cases</w:t>
      </w:r>
      <w:r w:rsidR="008D42ED">
        <w:t xml:space="preserve"> workers meet at off-site and carpool to the vegetation treatment area. </w:t>
      </w:r>
    </w:p>
    <w:p w14:paraId="398C7599" w14:textId="77777777" w:rsidR="00987128" w:rsidRPr="00982480" w:rsidRDefault="00987128" w:rsidP="00982480">
      <w:pPr>
        <w:pStyle w:val="TableHeader"/>
      </w:pPr>
      <w:bookmarkStart w:id="23" w:name="_Toc23837959"/>
      <w:bookmarkStart w:id="24" w:name="_Hlk6644273"/>
      <w:r w:rsidRPr="00982480">
        <w:t>Table 3.15-4</w:t>
      </w:r>
      <w:r w:rsidRPr="00982480">
        <w:tab/>
        <w:t xml:space="preserve">Workers by Treatment </w:t>
      </w:r>
      <w:r>
        <w:t>Activity</w:t>
      </w:r>
      <w:bookmarkEnd w:id="23"/>
    </w:p>
    <w:tbl>
      <w:tblPr>
        <w:tblW w:w="10080" w:type="dxa"/>
        <w:jc w:val="center"/>
        <w:tblBorders>
          <w:top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5040"/>
        <w:gridCol w:w="5040"/>
      </w:tblGrid>
      <w:tr w:rsidR="00841E48" w:rsidRPr="00982480" w14:paraId="73F89D7B" w14:textId="77777777" w:rsidTr="008F748A">
        <w:trPr>
          <w:tblHeader/>
          <w:jc w:val="center"/>
        </w:trPr>
        <w:tc>
          <w:tcPr>
            <w:tcW w:w="50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4253EB" w14:textId="77777777" w:rsidR="00841E48" w:rsidRPr="00982480" w:rsidRDefault="00841E48" w:rsidP="00982480">
            <w:pPr>
              <w:pStyle w:val="TableColumn"/>
            </w:pPr>
            <w:r w:rsidRPr="00982480">
              <w:t>Treatment Activity</w:t>
            </w:r>
          </w:p>
        </w:tc>
        <w:tc>
          <w:tcPr>
            <w:tcW w:w="50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9A27E0" w14:textId="708161F5" w:rsidR="00841E48" w:rsidRPr="00982480" w:rsidRDefault="00841E48" w:rsidP="00982480">
            <w:pPr>
              <w:pStyle w:val="TableColumn"/>
            </w:pPr>
            <w:r w:rsidRPr="00982480">
              <w:t>Average Workers</w:t>
            </w:r>
          </w:p>
        </w:tc>
      </w:tr>
      <w:tr w:rsidR="00841E48" w14:paraId="25CCAB42" w14:textId="77777777" w:rsidTr="008F748A">
        <w:trPr>
          <w:jc w:val="center"/>
        </w:trPr>
        <w:tc>
          <w:tcPr>
            <w:tcW w:w="5040" w:type="dxa"/>
            <w:tcBorders>
              <w:top w:val="single" w:sz="4" w:space="0" w:color="auto"/>
              <w:left w:val="nil"/>
              <w:bottom w:val="single" w:sz="4" w:space="0" w:color="auto"/>
              <w:right w:val="single" w:sz="4" w:space="0" w:color="auto"/>
            </w:tcBorders>
            <w:vAlign w:val="center"/>
            <w:hideMark/>
          </w:tcPr>
          <w:p w14:paraId="23BE611C" w14:textId="77777777" w:rsidR="00841E48" w:rsidRDefault="00841E48">
            <w:pPr>
              <w:pStyle w:val="TableText"/>
            </w:pPr>
            <w:r>
              <w:t>Prescribed Burn</w:t>
            </w:r>
          </w:p>
        </w:tc>
        <w:tc>
          <w:tcPr>
            <w:tcW w:w="5040" w:type="dxa"/>
            <w:tcBorders>
              <w:top w:val="single" w:sz="4" w:space="0" w:color="auto"/>
              <w:left w:val="single" w:sz="4" w:space="0" w:color="auto"/>
              <w:bottom w:val="single" w:sz="4" w:space="0" w:color="auto"/>
              <w:right w:val="nil"/>
            </w:tcBorders>
            <w:hideMark/>
          </w:tcPr>
          <w:p w14:paraId="0139E9D8" w14:textId="12981402" w:rsidR="00841E48" w:rsidRDefault="00841E48">
            <w:pPr>
              <w:pStyle w:val="TableText"/>
              <w:rPr>
                <w:vertAlign w:val="superscript"/>
              </w:rPr>
            </w:pPr>
            <w:r w:rsidRPr="00841E48">
              <w:t>45</w:t>
            </w:r>
          </w:p>
        </w:tc>
      </w:tr>
      <w:tr w:rsidR="00841E48" w14:paraId="4B5D271A" w14:textId="77777777" w:rsidTr="008F748A">
        <w:trPr>
          <w:jc w:val="center"/>
        </w:trPr>
        <w:tc>
          <w:tcPr>
            <w:tcW w:w="5040" w:type="dxa"/>
            <w:tcBorders>
              <w:top w:val="single" w:sz="4" w:space="0" w:color="auto"/>
              <w:left w:val="nil"/>
              <w:bottom w:val="single" w:sz="4" w:space="0" w:color="auto"/>
              <w:right w:val="single" w:sz="4" w:space="0" w:color="auto"/>
            </w:tcBorders>
            <w:vAlign w:val="center"/>
            <w:hideMark/>
          </w:tcPr>
          <w:p w14:paraId="37D2C7C3" w14:textId="76891C82" w:rsidR="00841E48" w:rsidRDefault="00841E48">
            <w:pPr>
              <w:pStyle w:val="TableText"/>
            </w:pPr>
            <w:r>
              <w:t>Mechanical Treatment</w:t>
            </w:r>
          </w:p>
        </w:tc>
        <w:tc>
          <w:tcPr>
            <w:tcW w:w="5040" w:type="dxa"/>
            <w:tcBorders>
              <w:top w:val="single" w:sz="4" w:space="0" w:color="auto"/>
              <w:left w:val="single" w:sz="4" w:space="0" w:color="auto"/>
              <w:bottom w:val="single" w:sz="4" w:space="0" w:color="auto"/>
              <w:right w:val="nil"/>
            </w:tcBorders>
            <w:hideMark/>
          </w:tcPr>
          <w:p w14:paraId="0A49C6D2" w14:textId="1D558FE0" w:rsidR="00841E48" w:rsidRDefault="00841E48">
            <w:pPr>
              <w:pStyle w:val="TableText"/>
            </w:pPr>
            <w:r>
              <w:t>20</w:t>
            </w:r>
          </w:p>
        </w:tc>
      </w:tr>
      <w:tr w:rsidR="00841E48" w14:paraId="30A83BAA" w14:textId="77777777" w:rsidTr="008F748A">
        <w:trPr>
          <w:jc w:val="center"/>
        </w:trPr>
        <w:tc>
          <w:tcPr>
            <w:tcW w:w="5040" w:type="dxa"/>
            <w:tcBorders>
              <w:top w:val="single" w:sz="4" w:space="0" w:color="auto"/>
              <w:left w:val="nil"/>
              <w:bottom w:val="single" w:sz="4" w:space="0" w:color="auto"/>
              <w:right w:val="single" w:sz="4" w:space="0" w:color="auto"/>
            </w:tcBorders>
            <w:vAlign w:val="center"/>
            <w:hideMark/>
          </w:tcPr>
          <w:p w14:paraId="4FB1EEDB" w14:textId="0517A7A8" w:rsidR="00841E48" w:rsidRDefault="00841E48">
            <w:pPr>
              <w:pStyle w:val="TableText"/>
            </w:pPr>
            <w:r>
              <w:t>Manual Treatment</w:t>
            </w:r>
          </w:p>
        </w:tc>
        <w:tc>
          <w:tcPr>
            <w:tcW w:w="5040" w:type="dxa"/>
            <w:tcBorders>
              <w:top w:val="single" w:sz="4" w:space="0" w:color="auto"/>
              <w:left w:val="single" w:sz="4" w:space="0" w:color="auto"/>
              <w:bottom w:val="single" w:sz="4" w:space="0" w:color="auto"/>
              <w:right w:val="nil"/>
            </w:tcBorders>
            <w:hideMark/>
          </w:tcPr>
          <w:p w14:paraId="1FD1048C" w14:textId="7682E935" w:rsidR="00841E48" w:rsidRDefault="00841E48">
            <w:pPr>
              <w:pStyle w:val="TableText"/>
            </w:pPr>
            <w:r>
              <w:t>20-40</w:t>
            </w:r>
          </w:p>
        </w:tc>
      </w:tr>
      <w:tr w:rsidR="00841E48" w14:paraId="2F1EB11D" w14:textId="77777777" w:rsidTr="008F748A">
        <w:trPr>
          <w:jc w:val="center"/>
        </w:trPr>
        <w:tc>
          <w:tcPr>
            <w:tcW w:w="5040" w:type="dxa"/>
            <w:tcBorders>
              <w:top w:val="single" w:sz="4" w:space="0" w:color="auto"/>
              <w:left w:val="nil"/>
              <w:bottom w:val="single" w:sz="4" w:space="0" w:color="auto"/>
              <w:right w:val="single" w:sz="4" w:space="0" w:color="auto"/>
            </w:tcBorders>
            <w:vAlign w:val="center"/>
          </w:tcPr>
          <w:p w14:paraId="5597D210" w14:textId="25367103" w:rsidR="00841E48" w:rsidRDefault="00841E48">
            <w:pPr>
              <w:pStyle w:val="TableText"/>
            </w:pPr>
            <w:r>
              <w:t>Prescribed Herbivory</w:t>
            </w:r>
          </w:p>
        </w:tc>
        <w:tc>
          <w:tcPr>
            <w:tcW w:w="5040" w:type="dxa"/>
            <w:tcBorders>
              <w:top w:val="single" w:sz="4" w:space="0" w:color="auto"/>
              <w:left w:val="single" w:sz="4" w:space="0" w:color="auto"/>
              <w:bottom w:val="single" w:sz="4" w:space="0" w:color="auto"/>
              <w:right w:val="nil"/>
            </w:tcBorders>
          </w:tcPr>
          <w:p w14:paraId="3C62A347" w14:textId="646FD492" w:rsidR="00841E48" w:rsidRPr="00B17FD9" w:rsidRDefault="008E4F4A">
            <w:pPr>
              <w:pStyle w:val="TableText"/>
            </w:pPr>
            <w:r w:rsidRPr="00B17FD9">
              <w:t>1-2</w:t>
            </w:r>
          </w:p>
        </w:tc>
      </w:tr>
      <w:tr w:rsidR="004958A2" w14:paraId="12621B55" w14:textId="77777777" w:rsidTr="008F748A">
        <w:trPr>
          <w:jc w:val="center"/>
        </w:trPr>
        <w:tc>
          <w:tcPr>
            <w:tcW w:w="5040" w:type="dxa"/>
            <w:tcBorders>
              <w:top w:val="single" w:sz="4" w:space="0" w:color="auto"/>
              <w:left w:val="nil"/>
              <w:bottom w:val="single" w:sz="4" w:space="0" w:color="auto"/>
              <w:right w:val="single" w:sz="4" w:space="0" w:color="auto"/>
            </w:tcBorders>
            <w:vAlign w:val="center"/>
          </w:tcPr>
          <w:p w14:paraId="0ED73899" w14:textId="3904146B" w:rsidR="004958A2" w:rsidRDefault="004958A2">
            <w:pPr>
              <w:pStyle w:val="TableText"/>
            </w:pPr>
            <w:r>
              <w:t>Herbicide Application</w:t>
            </w:r>
          </w:p>
        </w:tc>
        <w:tc>
          <w:tcPr>
            <w:tcW w:w="5040" w:type="dxa"/>
            <w:tcBorders>
              <w:top w:val="single" w:sz="4" w:space="0" w:color="auto"/>
              <w:left w:val="single" w:sz="4" w:space="0" w:color="auto"/>
              <w:bottom w:val="single" w:sz="4" w:space="0" w:color="auto"/>
              <w:right w:val="nil"/>
            </w:tcBorders>
          </w:tcPr>
          <w:p w14:paraId="71A2ECC4" w14:textId="28B18F38" w:rsidR="004958A2" w:rsidRPr="00B17FD9" w:rsidRDefault="008E4F4A">
            <w:pPr>
              <w:pStyle w:val="TableText"/>
            </w:pPr>
            <w:r w:rsidRPr="00B17FD9">
              <w:t>2-4</w:t>
            </w:r>
          </w:p>
        </w:tc>
      </w:tr>
    </w:tbl>
    <w:bookmarkEnd w:id="24"/>
    <w:p w14:paraId="3D5C0312" w14:textId="77879864" w:rsidR="00D81292" w:rsidRDefault="00223CCC" w:rsidP="00A12763">
      <w:pPr>
        <w:pStyle w:val="BodyText12ptbefore"/>
      </w:pPr>
      <w:r>
        <w:t>In some remote areas of the treatable landscape, t</w:t>
      </w:r>
      <w:r w:rsidR="004958A2">
        <w:t xml:space="preserve">he </w:t>
      </w:r>
      <w:r w:rsidR="0040265A">
        <w:t xml:space="preserve">circulation </w:t>
      </w:r>
      <w:r w:rsidR="004958A2">
        <w:t>network includes</w:t>
      </w:r>
      <w:r w:rsidR="00D81292">
        <w:t xml:space="preserve"> </w:t>
      </w:r>
      <w:r w:rsidR="0040265A">
        <w:t xml:space="preserve">roadway facilities </w:t>
      </w:r>
      <w:r w:rsidR="00D81292">
        <w:t xml:space="preserve">with </w:t>
      </w:r>
      <w:r w:rsidR="00D81292" w:rsidRPr="002E3A30">
        <w:t xml:space="preserve">limited lane and shoulder widths, curvilinear alignment, low design speeds, and </w:t>
      </w:r>
      <w:r w:rsidR="004A43FE">
        <w:t xml:space="preserve">roadways </w:t>
      </w:r>
      <w:r w:rsidR="00D81292">
        <w:t xml:space="preserve">that </w:t>
      </w:r>
      <w:r w:rsidR="00D81292" w:rsidRPr="002E3A30">
        <w:t>pass through mountainous terrain with no available services.</w:t>
      </w:r>
      <w:r w:rsidR="00D81292">
        <w:t xml:space="preserve"> </w:t>
      </w:r>
      <w:r>
        <w:t>In these areas</w:t>
      </w:r>
      <w:r w:rsidR="003E2B7F">
        <w:t xml:space="preserve">, the hauling of heavy machinery (e.g., bulldozers, excavators) and operation of large trucks occurring along roadways with limited lane width, little or no roadway shoulders, and </w:t>
      </w:r>
      <w:r w:rsidR="003E2B7F" w:rsidRPr="00A63A1D">
        <w:t>curvilinear alignment</w:t>
      </w:r>
      <w:r w:rsidR="003E2B7F">
        <w:t xml:space="preserve"> (</w:t>
      </w:r>
      <w:r w:rsidR="003E2B7F" w:rsidRPr="00A63A1D">
        <w:t xml:space="preserve">generally </w:t>
      </w:r>
      <w:r w:rsidR="003E2B7F">
        <w:t>located</w:t>
      </w:r>
      <w:r w:rsidR="003E2B7F" w:rsidRPr="00A63A1D">
        <w:t xml:space="preserve"> in rural, remote, and mountainous regions</w:t>
      </w:r>
      <w:r w:rsidR="003E2B7F">
        <w:t xml:space="preserve">), </w:t>
      </w:r>
      <w:r w:rsidR="003E2B7F" w:rsidRPr="00A63A1D">
        <w:t xml:space="preserve">could potentially result in disruptions to </w:t>
      </w:r>
      <w:r w:rsidR="003E2B7F">
        <w:t>traffic operations along the roadway</w:t>
      </w:r>
      <w:r w:rsidR="003E2B7F" w:rsidRPr="00A63A1D">
        <w:t xml:space="preserve"> network. </w:t>
      </w:r>
      <w:r w:rsidR="004958A2">
        <w:t xml:space="preserve">Thus, </w:t>
      </w:r>
      <w:r w:rsidR="00387651">
        <w:t xml:space="preserve">due to the nature of the study area roadway network and the vehicle trip types generated by vegetation treatment activities, </w:t>
      </w:r>
      <w:r w:rsidR="00A80EC5">
        <w:t>the</w:t>
      </w:r>
      <w:r w:rsidR="00C55869" w:rsidRPr="004958A2">
        <w:t xml:space="preserve"> </w:t>
      </w:r>
      <w:r w:rsidR="004958A2" w:rsidRPr="004958A2">
        <w:t xml:space="preserve">relatively small number of </w:t>
      </w:r>
      <w:r w:rsidR="00D81292">
        <w:t>treatment</w:t>
      </w:r>
      <w:r w:rsidR="00387651">
        <w:t>-</w:t>
      </w:r>
      <w:r w:rsidR="00D81292">
        <w:t>generated</w:t>
      </w:r>
      <w:r w:rsidR="004958A2" w:rsidRPr="004958A2">
        <w:t xml:space="preserve"> trips</w:t>
      </w:r>
      <w:r w:rsidR="00C55869" w:rsidRPr="004958A2">
        <w:t xml:space="preserve"> could </w:t>
      </w:r>
      <w:r w:rsidR="00387651">
        <w:t xml:space="preserve">result in </w:t>
      </w:r>
      <w:r w:rsidR="00C55869" w:rsidRPr="004958A2">
        <w:t>temporar</w:t>
      </w:r>
      <w:r w:rsidR="00387651">
        <w:t>y</w:t>
      </w:r>
      <w:r w:rsidR="00C55869" w:rsidRPr="004958A2">
        <w:t xml:space="preserve"> </w:t>
      </w:r>
      <w:r w:rsidR="00387651">
        <w:t xml:space="preserve">roadway </w:t>
      </w:r>
      <w:r w:rsidR="00C55869" w:rsidRPr="004958A2">
        <w:t>obstruct</w:t>
      </w:r>
      <w:r w:rsidR="00387651">
        <w:t>ions</w:t>
      </w:r>
      <w:r w:rsidR="00C55869" w:rsidRPr="004958A2">
        <w:t xml:space="preserve"> and degrad</w:t>
      </w:r>
      <w:r w:rsidR="00387651">
        <w:t>ation of</w:t>
      </w:r>
      <w:r w:rsidR="00D63AB5">
        <w:t xml:space="preserve"> traffic</w:t>
      </w:r>
      <w:r w:rsidR="00C55869" w:rsidRPr="004958A2">
        <w:t xml:space="preserve"> </w:t>
      </w:r>
      <w:r w:rsidR="00D63AB5">
        <w:t xml:space="preserve">operations </w:t>
      </w:r>
      <w:r w:rsidR="003E2B7F">
        <w:t>at</w:t>
      </w:r>
      <w:r w:rsidR="00387651">
        <w:t xml:space="preserve"> </w:t>
      </w:r>
      <w:r w:rsidR="003E2B7F" w:rsidRPr="004958A2">
        <w:t xml:space="preserve">intersections </w:t>
      </w:r>
      <w:r w:rsidR="00C55869" w:rsidRPr="004958A2">
        <w:t xml:space="preserve">and </w:t>
      </w:r>
      <w:r w:rsidR="003E2B7F" w:rsidRPr="004958A2">
        <w:t>roadway</w:t>
      </w:r>
      <w:r w:rsidR="003E2B7F">
        <w:t xml:space="preserve"> segments </w:t>
      </w:r>
      <w:r w:rsidR="00C55869" w:rsidRPr="004958A2">
        <w:t xml:space="preserve">if </w:t>
      </w:r>
      <w:r w:rsidR="003E2B7F">
        <w:t xml:space="preserve">project-generated traffic is not appropriately planned and managed. </w:t>
      </w:r>
    </w:p>
    <w:p w14:paraId="7803E49A" w14:textId="0FFAE86A" w:rsidR="00194B5A" w:rsidRPr="00DC1722" w:rsidRDefault="00A80EC5" w:rsidP="00EB4A03">
      <w:pPr>
        <w:pStyle w:val="BodyText"/>
        <w:keepLines/>
      </w:pPr>
      <w:r>
        <w:lastRenderedPageBreak/>
        <w:t xml:space="preserve">Qualifying projects under the proposed CalVTP would integrate various SPRs into treatment design </w:t>
      </w:r>
      <w:r w:rsidR="00D92B8F">
        <w:t>that would</w:t>
      </w:r>
      <w:r>
        <w:t xml:space="preserve"> </w:t>
      </w:r>
      <w:bookmarkStart w:id="25" w:name="_Hlk6561920"/>
      <w:r w:rsidR="00F57A70">
        <w:t>avoid and minimize</w:t>
      </w:r>
      <w:r>
        <w:t xml:space="preserve"> </w:t>
      </w:r>
      <w:r w:rsidR="00F57A70">
        <w:t xml:space="preserve">impacts </w:t>
      </w:r>
      <w:r w:rsidR="00B02079">
        <w:t>to</w:t>
      </w:r>
      <w:bookmarkEnd w:id="25"/>
      <w:r w:rsidR="0041248E">
        <w:t xml:space="preserve"> </w:t>
      </w:r>
      <w:r w:rsidR="00B02079">
        <w:t>traffic operations</w:t>
      </w:r>
      <w:r>
        <w:t xml:space="preserve"> </w:t>
      </w:r>
      <w:r w:rsidR="00F57A70">
        <w:t xml:space="preserve">during implementation of </w:t>
      </w:r>
      <w:r>
        <w:t>vegetation treatment</w:t>
      </w:r>
      <w:r w:rsidR="00F57A70">
        <w:t>s</w:t>
      </w:r>
      <w:r w:rsidRPr="00FF7AB9">
        <w:t xml:space="preserve">. </w:t>
      </w:r>
      <w:r w:rsidR="00FF7AB9" w:rsidRPr="00FF7AB9">
        <w:t>SPR TRAN-</w:t>
      </w:r>
      <w:r w:rsidR="00BB4FA6">
        <w:t>1</w:t>
      </w:r>
      <w:r w:rsidR="00FF7AB9">
        <w:t xml:space="preserve"> requires</w:t>
      </w:r>
      <w:r w:rsidR="00BF7F9F">
        <w:t xml:space="preserve"> that if </w:t>
      </w:r>
      <w:r w:rsidR="0092531C">
        <w:t xml:space="preserve">traffic generated by the </w:t>
      </w:r>
      <w:r w:rsidR="001B458E">
        <w:t>treatment activity</w:t>
      </w:r>
      <w:r w:rsidR="0092531C">
        <w:t xml:space="preserve"> would result in obstructions, hazards, or delays exceeding applicable jurisdictional standards along access routes for individual vegetation treatments</w:t>
      </w:r>
      <w:r w:rsidR="00BF7F9F">
        <w:t xml:space="preserve">, </w:t>
      </w:r>
      <w:r w:rsidR="008C5FE2">
        <w:t xml:space="preserve">a TMP </w:t>
      </w:r>
      <w:r w:rsidR="001B458E">
        <w:t xml:space="preserve">will </w:t>
      </w:r>
      <w:r w:rsidR="008C5FE2">
        <w:t xml:space="preserve">be prepared </w:t>
      </w:r>
      <w:r w:rsidR="00FF7AB9">
        <w:t>prior to initiating vegetation treatment activities</w:t>
      </w:r>
      <w:r w:rsidR="009E4BBE">
        <w:t xml:space="preserve">. The TMP </w:t>
      </w:r>
      <w:r w:rsidR="00FF7AB9">
        <w:t xml:space="preserve">will </w:t>
      </w:r>
      <w:r w:rsidR="001B458E">
        <w:t>include</w:t>
      </w:r>
      <w:r w:rsidR="00EF0495">
        <w:t xml:space="preserve"> </w:t>
      </w:r>
      <w:r w:rsidR="00FF7AB9">
        <w:t xml:space="preserve">measures to </w:t>
      </w:r>
      <w:r w:rsidR="00B02079">
        <w:t xml:space="preserve">avoid and minimize </w:t>
      </w:r>
      <w:r w:rsidR="00FF7AB9">
        <w:t>traffic obstruction</w:t>
      </w:r>
      <w:r w:rsidR="00EF0495">
        <w:t>s</w:t>
      </w:r>
      <w:r w:rsidR="00194B5A">
        <w:t xml:space="preserve">, </w:t>
      </w:r>
      <w:r w:rsidR="00B02079">
        <w:t xml:space="preserve">prolonged </w:t>
      </w:r>
      <w:r w:rsidR="00194B5A">
        <w:t xml:space="preserve">roadway closures, and the </w:t>
      </w:r>
      <w:r w:rsidR="00FF7AB9">
        <w:t xml:space="preserve">degradation </w:t>
      </w:r>
      <w:r w:rsidR="00EF0495">
        <w:t>of traffic operations</w:t>
      </w:r>
      <w:r w:rsidR="001E38C8">
        <w:t xml:space="preserve"> </w:t>
      </w:r>
      <w:r w:rsidR="00C33D9B">
        <w:t>(i.e., LOS)</w:t>
      </w:r>
      <w:r w:rsidR="00EF0495">
        <w:t xml:space="preserve"> along </w:t>
      </w:r>
      <w:r w:rsidR="00FF7AB9">
        <w:t xml:space="preserve">affected </w:t>
      </w:r>
      <w:r w:rsidR="009E4BBE">
        <w:t>roadway facilities</w:t>
      </w:r>
      <w:r w:rsidR="00EF0495">
        <w:t>, as needed</w:t>
      </w:r>
      <w:r w:rsidR="00FF7AB9">
        <w:t xml:space="preserve">. The scope of the TMP will depend on the type, intensity, and duration of the specific </w:t>
      </w:r>
      <w:r w:rsidR="00B02079">
        <w:t xml:space="preserve">vegetation </w:t>
      </w:r>
      <w:r w:rsidR="00FF7AB9">
        <w:t>treatment</w:t>
      </w:r>
      <w:r w:rsidR="00B02079">
        <w:t>s</w:t>
      </w:r>
      <w:r w:rsidR="00FF7AB9">
        <w:t xml:space="preserve"> under the </w:t>
      </w:r>
      <w:r w:rsidR="009E4BBE">
        <w:t>CalVTP</w:t>
      </w:r>
      <w:r w:rsidR="00FF7AB9">
        <w:t xml:space="preserve">. Measures included in the TMP could include (but are not be limited to) </w:t>
      </w:r>
      <w:r w:rsidR="00194B5A">
        <w:t xml:space="preserve">notification of </w:t>
      </w:r>
      <w:r w:rsidR="00B02079">
        <w:t xml:space="preserve">vegetation </w:t>
      </w:r>
      <w:r w:rsidR="00194B5A">
        <w:t xml:space="preserve">treatments, temporary traffic </w:t>
      </w:r>
      <w:r w:rsidR="00194B5A" w:rsidRPr="00194B5A">
        <w:t xml:space="preserve">control </w:t>
      </w:r>
      <w:r w:rsidR="00FF7AB9" w:rsidRPr="00194B5A">
        <w:t>signage,</w:t>
      </w:r>
      <w:r w:rsidR="00FF7AB9">
        <w:t xml:space="preserve"> </w:t>
      </w:r>
      <w:r w:rsidR="00194B5A">
        <w:t xml:space="preserve">and </w:t>
      </w:r>
      <w:r w:rsidR="00FF7AB9">
        <w:t>flaggers for lane closures</w:t>
      </w:r>
      <w:r w:rsidR="00194B5A">
        <w:t xml:space="preserve">. Additionally, the TMP could include transportation demand management measures such as </w:t>
      </w:r>
      <w:r w:rsidR="00FF7AB9">
        <w:t xml:space="preserve">treatment schedule </w:t>
      </w:r>
      <w:r w:rsidR="00194B5A">
        <w:t xml:space="preserve">restrictions, </w:t>
      </w:r>
      <w:r w:rsidR="00FF7AB9">
        <w:t xml:space="preserve">delivery </w:t>
      </w:r>
      <w:r w:rsidR="00194B5A">
        <w:t>time of day</w:t>
      </w:r>
      <w:r w:rsidR="00FF7AB9">
        <w:t xml:space="preserve"> restrictions</w:t>
      </w:r>
      <w:r w:rsidR="00647466">
        <w:t xml:space="preserve">, and worker commute time restrictions. </w:t>
      </w:r>
      <w:r w:rsidR="00C55869" w:rsidRPr="00A57425">
        <w:t xml:space="preserve">These measures would promote </w:t>
      </w:r>
      <w:r w:rsidR="00194B5A">
        <w:t xml:space="preserve">safe and efficient mobility </w:t>
      </w:r>
      <w:r w:rsidR="00C55869" w:rsidRPr="00A57425">
        <w:t xml:space="preserve">during </w:t>
      </w:r>
      <w:r w:rsidR="00B02079">
        <w:t>vegetation treatme</w:t>
      </w:r>
      <w:r w:rsidR="0041248E">
        <w:t>n</w:t>
      </w:r>
      <w:r w:rsidR="00B02079">
        <w:t>ts</w:t>
      </w:r>
      <w:r w:rsidR="00C55869" w:rsidRPr="00A57425">
        <w:t xml:space="preserve"> </w:t>
      </w:r>
      <w:r w:rsidR="005D198F">
        <w:t xml:space="preserve">and would </w:t>
      </w:r>
      <w:r w:rsidR="00C55869" w:rsidRPr="00A57425">
        <w:t xml:space="preserve">avoid </w:t>
      </w:r>
      <w:r w:rsidR="00B02079">
        <w:t xml:space="preserve">or minimize </w:t>
      </w:r>
      <w:r w:rsidR="00C55869" w:rsidRPr="00A57425">
        <w:t xml:space="preserve">substantial </w:t>
      </w:r>
      <w:r w:rsidR="008C5FE2">
        <w:t xml:space="preserve">traffic </w:t>
      </w:r>
      <w:r w:rsidR="00DE2245">
        <w:t xml:space="preserve">delays resulting </w:t>
      </w:r>
      <w:r w:rsidR="00B02079">
        <w:t>from lane or roadway closures</w:t>
      </w:r>
      <w:r w:rsidR="00C55869" w:rsidRPr="00055DAB">
        <w:t xml:space="preserve">. </w:t>
      </w:r>
      <w:bookmarkStart w:id="26" w:name="_Hlk6321352"/>
      <w:r w:rsidR="00C55869" w:rsidRPr="004F5872">
        <w:t xml:space="preserve">The TMP would also be submitted to the </w:t>
      </w:r>
      <w:r w:rsidR="00055DAB" w:rsidRPr="004F5872">
        <w:t>applicable department</w:t>
      </w:r>
      <w:r w:rsidR="00C55869" w:rsidRPr="004F5872">
        <w:t xml:space="preserve"> with</w:t>
      </w:r>
      <w:r w:rsidR="00055DAB" w:rsidRPr="004F5872">
        <w:t>in the local agency</w:t>
      </w:r>
      <w:r w:rsidR="00C55869" w:rsidRPr="004F5872">
        <w:t xml:space="preserve"> </w:t>
      </w:r>
      <w:r w:rsidR="00055DAB" w:rsidRPr="004F5872">
        <w:t xml:space="preserve">with </w:t>
      </w:r>
      <w:r w:rsidR="00C55869" w:rsidRPr="004F5872">
        <w:t>jurisdiction over the affected transportation facilities.</w:t>
      </w:r>
      <w:bookmarkEnd w:id="26"/>
    </w:p>
    <w:p w14:paraId="78C3C409" w14:textId="499C8CA6" w:rsidR="004F5872" w:rsidRDefault="00055DAB" w:rsidP="00DC1722">
      <w:pPr>
        <w:pStyle w:val="BodyText"/>
      </w:pPr>
      <w:r w:rsidRPr="00055DAB">
        <w:t xml:space="preserve">Additionally, </w:t>
      </w:r>
      <w:r>
        <w:t xml:space="preserve">SPR AD-3 requires that treatments </w:t>
      </w:r>
      <w:r w:rsidR="008C5FE2">
        <w:t xml:space="preserve">be </w:t>
      </w:r>
      <w:r>
        <w:t xml:space="preserve">designed and implemented in a manner that is consistent with applicable local plans (e.g., general plans), policies, and ordinances to the extent the </w:t>
      </w:r>
      <w:r w:rsidR="008C5FE2">
        <w:t xml:space="preserve">treatment </w:t>
      </w:r>
      <w:r>
        <w:t>is subject to them.</w:t>
      </w:r>
      <w:r w:rsidR="004F5872">
        <w:t xml:space="preserve"> </w:t>
      </w:r>
      <w:r w:rsidR="008C5FE2">
        <w:rPr>
          <w:spacing w:val="2"/>
        </w:rPr>
        <w:t>W</w:t>
      </w:r>
      <w:r>
        <w:rPr>
          <w:spacing w:val="2"/>
        </w:rPr>
        <w:t xml:space="preserve">ith implementation of SPR AD-3, </w:t>
      </w:r>
      <w:r w:rsidR="00451738">
        <w:rPr>
          <w:spacing w:val="2"/>
        </w:rPr>
        <w:t>traffic generated by</w:t>
      </w:r>
      <w:r>
        <w:rPr>
          <w:spacing w:val="2"/>
        </w:rPr>
        <w:t xml:space="preserve"> vegetation treatment activities under </w:t>
      </w:r>
      <w:r w:rsidR="004F5872">
        <w:rPr>
          <w:spacing w:val="2"/>
        </w:rPr>
        <w:t xml:space="preserve">the </w:t>
      </w:r>
      <w:r>
        <w:rPr>
          <w:spacing w:val="2"/>
        </w:rPr>
        <w:t xml:space="preserve">CalVTP would </w:t>
      </w:r>
      <w:r w:rsidR="00451738">
        <w:rPr>
          <w:spacing w:val="2"/>
        </w:rPr>
        <w:t>comply with</w:t>
      </w:r>
      <w:r>
        <w:t xml:space="preserve"> local standards</w:t>
      </w:r>
      <w:r w:rsidR="004F5872">
        <w:t xml:space="preserve"> and policies</w:t>
      </w:r>
      <w:r w:rsidR="00451738">
        <w:t xml:space="preserve"> including, but not limited to </w:t>
      </w:r>
      <w:r w:rsidR="00804397">
        <w:t>traffic operations</w:t>
      </w:r>
      <w:r w:rsidR="00D31A5F">
        <w:t xml:space="preserve"> standards</w:t>
      </w:r>
      <w:r w:rsidR="005D198F">
        <w:t xml:space="preserve"> and policies</w:t>
      </w:r>
      <w:r w:rsidR="004F5872">
        <w:t xml:space="preserve">. </w:t>
      </w:r>
      <w:r>
        <w:rPr>
          <w:spacing w:val="2"/>
        </w:rPr>
        <w:t xml:space="preserve">Therefore, with implementation of SPR AD-3, </w:t>
      </w:r>
      <w:r w:rsidR="004F5872">
        <w:rPr>
          <w:spacing w:val="2"/>
        </w:rPr>
        <w:t>the vehicle traffic associated with</w:t>
      </w:r>
      <w:r>
        <w:rPr>
          <w:spacing w:val="2"/>
        </w:rPr>
        <w:t xml:space="preserve"> vegetation treatment activities under the CalVTP would not </w:t>
      </w:r>
      <w:r w:rsidR="004F5872">
        <w:t>conflict with local programs, plans, ordinances, or policies addressing the circulation system</w:t>
      </w:r>
      <w:r w:rsidR="00AE43E1" w:rsidRPr="00AE43E1">
        <w:t xml:space="preserve"> </w:t>
      </w:r>
      <w:r w:rsidR="00AE43E1">
        <w:t>to the extent the project is subject to them.</w:t>
      </w:r>
    </w:p>
    <w:p w14:paraId="6A3DBF44" w14:textId="27B2E52E" w:rsidR="007A4D75" w:rsidRPr="007A4D75" w:rsidRDefault="004F5872" w:rsidP="00DC1722">
      <w:pPr>
        <w:pStyle w:val="BodyText"/>
        <w:rPr>
          <w:highlight w:val="yellow"/>
        </w:rPr>
      </w:pPr>
      <w:r>
        <w:t>Each qualifying</w:t>
      </w:r>
      <w:r w:rsidRPr="00754BD5">
        <w:t xml:space="preserve"> </w:t>
      </w:r>
      <w:r>
        <w:t>vegetation treatment</w:t>
      </w:r>
      <w:r w:rsidRPr="00754BD5">
        <w:t xml:space="preserve"> under th</w:t>
      </w:r>
      <w:r>
        <w:t>e</w:t>
      </w:r>
      <w:r w:rsidRPr="00754BD5">
        <w:t xml:space="preserve"> </w:t>
      </w:r>
      <w:r>
        <w:t>CalVTP</w:t>
      </w:r>
      <w:r w:rsidRPr="00754BD5">
        <w:t xml:space="preserve"> would be required to adhere to the SPRs</w:t>
      </w:r>
      <w:r>
        <w:t xml:space="preserve"> identified above that </w:t>
      </w:r>
      <w:r w:rsidR="009D7784">
        <w:t xml:space="preserve">manage and </w:t>
      </w:r>
      <w:r>
        <w:t xml:space="preserve">minimize </w:t>
      </w:r>
      <w:r w:rsidR="009D7784">
        <w:t xml:space="preserve">potential </w:t>
      </w:r>
      <w:r w:rsidR="00C16AC1">
        <w:t xml:space="preserve">effects to </w:t>
      </w:r>
      <w:r>
        <w:t>traffic</w:t>
      </w:r>
      <w:r w:rsidR="00F9288D">
        <w:t xml:space="preserve"> operations</w:t>
      </w:r>
      <w:r>
        <w:t xml:space="preserve"> during treatment</w:t>
      </w:r>
      <w:r w:rsidR="007A4D75">
        <w:t xml:space="preserve"> </w:t>
      </w:r>
      <w:r w:rsidR="007A4D75" w:rsidRPr="00384F26">
        <w:t>activities</w:t>
      </w:r>
      <w:r w:rsidRPr="00384F26">
        <w:t xml:space="preserve">. </w:t>
      </w:r>
      <w:r w:rsidR="00C16AC1">
        <w:t>Additionally, project-generated effects on t</w:t>
      </w:r>
      <w:r w:rsidR="00384F26" w:rsidRPr="00384F26">
        <w:t xml:space="preserve">raffic </w:t>
      </w:r>
      <w:r w:rsidR="00C16AC1">
        <w:t xml:space="preserve">operations </w:t>
      </w:r>
      <w:r w:rsidR="00384F26" w:rsidRPr="00384F26">
        <w:t>would be localized and temporary, and t</w:t>
      </w:r>
      <w:r w:rsidR="007A4D75" w:rsidRPr="00384F26">
        <w:t xml:space="preserve">he project proponent would prepare and implement a TMP to reduce </w:t>
      </w:r>
      <w:r w:rsidR="00C16AC1">
        <w:t xml:space="preserve">any </w:t>
      </w:r>
      <w:r w:rsidR="007A4D75" w:rsidRPr="00384F26">
        <w:t xml:space="preserve">temporary transportation </w:t>
      </w:r>
      <w:r w:rsidR="00C16AC1">
        <w:t>effects t</w:t>
      </w:r>
      <w:r w:rsidR="007A4D75" w:rsidRPr="00384F26">
        <w:t>o the degree feasible</w:t>
      </w:r>
      <w:r w:rsidR="00384F26" w:rsidRPr="00384F26">
        <w:t>.</w:t>
      </w:r>
      <w:r w:rsidR="00FB4417">
        <w:t xml:space="preserve"> </w:t>
      </w:r>
      <w:r w:rsidR="00F9288D" w:rsidRPr="00F9288D">
        <w:t xml:space="preserve">Therefore, </w:t>
      </w:r>
      <w:r w:rsidR="00FA163F">
        <w:t>no conflict with any program, plan, ordinance, or policy</w:t>
      </w:r>
      <w:r w:rsidR="00FA163F" w:rsidRPr="004D3816">
        <w:t xml:space="preserve"> </w:t>
      </w:r>
      <w:r w:rsidR="00FA163F">
        <w:t xml:space="preserve">addressing roadway facilities or </w:t>
      </w:r>
      <w:r w:rsidR="00FA163F" w:rsidRPr="004D3816">
        <w:t>prolonged road closures</w:t>
      </w:r>
      <w:r w:rsidR="00FA163F">
        <w:t xml:space="preserve"> would occur and </w:t>
      </w:r>
      <w:r w:rsidR="00EE7E36">
        <w:t xml:space="preserve">this </w:t>
      </w:r>
      <w:r w:rsidR="00F9288D" w:rsidRPr="00F9288D">
        <w:t xml:space="preserve">short-term treatment activity related traffic operations impact would be </w:t>
      </w:r>
      <w:r w:rsidR="00F9288D" w:rsidRPr="00F9288D">
        <w:rPr>
          <w:b/>
        </w:rPr>
        <w:t>less than significant</w:t>
      </w:r>
      <w:r w:rsidR="00F9288D" w:rsidRPr="00A91173">
        <w:t>.</w:t>
      </w:r>
    </w:p>
    <w:p w14:paraId="0ABD743F" w14:textId="16FDAC94" w:rsidR="00E56BAA" w:rsidRDefault="00E56BAA" w:rsidP="00E56BAA">
      <w:pPr>
        <w:pStyle w:val="Heading5"/>
      </w:pPr>
      <w:r w:rsidRPr="009328EF">
        <w:t>Mitigation Measures</w:t>
      </w:r>
    </w:p>
    <w:p w14:paraId="212156FA" w14:textId="07DE26F7" w:rsidR="00E56BAA" w:rsidRDefault="00E56BAA" w:rsidP="00E56BAA">
      <w:pPr>
        <w:pStyle w:val="Mitigationtext"/>
      </w:pPr>
      <w:r>
        <w:t xml:space="preserve">No mitigation </w:t>
      </w:r>
      <w:r w:rsidR="00565F76">
        <w:t>is required</w:t>
      </w:r>
      <w:r>
        <w:t xml:space="preserve"> for this impact. </w:t>
      </w:r>
    </w:p>
    <w:p w14:paraId="0F072F62" w14:textId="4C941524" w:rsidR="008D490A" w:rsidRPr="00CC6793" w:rsidRDefault="008D490A" w:rsidP="008D490A">
      <w:pPr>
        <w:pStyle w:val="ImpactNo"/>
      </w:pPr>
      <w:r w:rsidRPr="00CC6793">
        <w:t xml:space="preserve">Impact </w:t>
      </w:r>
      <w:r>
        <w:t>TRAN-</w:t>
      </w:r>
      <w:r w:rsidR="006B1076">
        <w:t>2</w:t>
      </w:r>
      <w:r w:rsidRPr="00CC6793">
        <w:t xml:space="preserve">: </w:t>
      </w:r>
      <w:r w:rsidRPr="008D490A">
        <w:t xml:space="preserve">Substantially </w:t>
      </w:r>
      <w:r w:rsidR="004C0A14" w:rsidRPr="008D490A">
        <w:t xml:space="preserve">Increase Hazards </w:t>
      </w:r>
      <w:r w:rsidRPr="008D490A">
        <w:t xml:space="preserve">due to a </w:t>
      </w:r>
      <w:r w:rsidR="004C0A14" w:rsidRPr="008D490A">
        <w:t>Design Feature</w:t>
      </w:r>
      <w:r w:rsidR="004C0A14">
        <w:t xml:space="preserve"> </w:t>
      </w:r>
      <w:r w:rsidRPr="008D490A">
        <w:t xml:space="preserve">or </w:t>
      </w:r>
      <w:r w:rsidR="004C0A14" w:rsidRPr="008D490A">
        <w:t>Incompatible Uses</w:t>
      </w:r>
    </w:p>
    <w:p w14:paraId="48DC81F0" w14:textId="72AE97CE" w:rsidR="008D490A" w:rsidRPr="00EB4A03" w:rsidRDefault="0062165B" w:rsidP="00D13C09">
      <w:pPr>
        <w:pStyle w:val="Impactdescription"/>
        <w:rPr>
          <w:spacing w:val="-1"/>
        </w:rPr>
      </w:pPr>
      <w:r w:rsidRPr="00EB4A03">
        <w:rPr>
          <w:spacing w:val="-1"/>
        </w:rPr>
        <w:t>Implementation of the CalVTP</w:t>
      </w:r>
      <w:r w:rsidR="00D56BB9" w:rsidRPr="00EB4A03">
        <w:rPr>
          <w:spacing w:val="-1"/>
        </w:rPr>
        <w:t xml:space="preserve"> would not require the construction or alteration of any roadways, and </w:t>
      </w:r>
      <w:r w:rsidRPr="00EB4A03">
        <w:rPr>
          <w:spacing w:val="-1"/>
        </w:rPr>
        <w:t xml:space="preserve">qualifying </w:t>
      </w:r>
      <w:r w:rsidR="00D56BB9" w:rsidRPr="00EB4A03">
        <w:rPr>
          <w:spacing w:val="-1"/>
        </w:rPr>
        <w:t xml:space="preserve">vegetation treatment projects under the CalVTP would adhere to SPRs that manage and minimize potential hazards due to </w:t>
      </w:r>
      <w:r w:rsidR="00BE7FF5" w:rsidRPr="00EB4A03">
        <w:rPr>
          <w:spacing w:val="-1"/>
        </w:rPr>
        <w:t>smoke generated during prescribe burns</w:t>
      </w:r>
      <w:r w:rsidRPr="00EB4A03">
        <w:rPr>
          <w:spacing w:val="-1"/>
        </w:rPr>
        <w:t xml:space="preserve">. </w:t>
      </w:r>
      <w:r w:rsidR="00D56BB9" w:rsidRPr="00EB4A03">
        <w:rPr>
          <w:spacing w:val="-1"/>
        </w:rPr>
        <w:t xml:space="preserve">The project proponent would prepare and implement </w:t>
      </w:r>
      <w:r w:rsidRPr="00EB4A03">
        <w:rPr>
          <w:spacing w:val="-1"/>
        </w:rPr>
        <w:t xml:space="preserve">a </w:t>
      </w:r>
      <w:r w:rsidR="00D56BB9" w:rsidRPr="00EB4A03">
        <w:rPr>
          <w:spacing w:val="-1"/>
        </w:rPr>
        <w:t xml:space="preserve">TMP to </w:t>
      </w:r>
      <w:r w:rsidR="0041248E" w:rsidRPr="00EB4A03">
        <w:rPr>
          <w:spacing w:val="-1"/>
        </w:rPr>
        <w:t>avoid and minimize</w:t>
      </w:r>
      <w:r w:rsidR="00D56BB9" w:rsidRPr="00EB4A03">
        <w:rPr>
          <w:spacing w:val="-1"/>
        </w:rPr>
        <w:t xml:space="preserve"> temporary transportation impacts. Therefore, vegetation treatment activities would not substantially increase hazards due to a design feature or incompatible uses. This impact would be </w:t>
      </w:r>
      <w:r w:rsidR="00D56BB9" w:rsidRPr="00EB4A03">
        <w:rPr>
          <w:b/>
          <w:spacing w:val="-1"/>
        </w:rPr>
        <w:t>less than significant</w:t>
      </w:r>
      <w:r w:rsidR="00D56BB9" w:rsidRPr="00EB4A03">
        <w:rPr>
          <w:spacing w:val="-1"/>
        </w:rPr>
        <w:t>.</w:t>
      </w:r>
    </w:p>
    <w:p w14:paraId="35C05726" w14:textId="4B8E7540" w:rsidR="00A96954" w:rsidRPr="00EB4A03" w:rsidRDefault="009D6D6A" w:rsidP="00D13C09">
      <w:pPr>
        <w:pStyle w:val="BodyText"/>
        <w:rPr>
          <w:spacing w:val="-1"/>
        </w:rPr>
      </w:pPr>
      <w:r w:rsidRPr="00EB4A03">
        <w:rPr>
          <w:spacing w:val="-1"/>
        </w:rPr>
        <w:t>Agencies with the responsibility for roadway design and operation within the treatable landscape all have adopted and enforce roadway design standards. These standards address a variety of roadway elements, including safety and hazards. The use and enforcement of these design standards prevents the development of transportation infrastructure that would substantially increase hazards because of a design feature.</w:t>
      </w:r>
      <w:r w:rsidR="00FB4417" w:rsidRPr="00EB4A03">
        <w:rPr>
          <w:spacing w:val="-1"/>
        </w:rPr>
        <w:t xml:space="preserve"> </w:t>
      </w:r>
      <w:r w:rsidR="0041248E" w:rsidRPr="00EB4A03">
        <w:rPr>
          <w:spacing w:val="-1"/>
        </w:rPr>
        <w:t xml:space="preserve">The implementation of vegetation treatments under the CalVTP </w:t>
      </w:r>
      <w:r w:rsidR="00A96954" w:rsidRPr="00EB4A03">
        <w:rPr>
          <w:spacing w:val="-1"/>
        </w:rPr>
        <w:t xml:space="preserve">would not require the construction, re-design, or alteration of any public roadways, and </w:t>
      </w:r>
      <w:r w:rsidR="00C86629" w:rsidRPr="00EB4A03">
        <w:rPr>
          <w:spacing w:val="-1"/>
        </w:rPr>
        <w:t>vegetation treatments</w:t>
      </w:r>
      <w:r w:rsidR="00A96954" w:rsidRPr="00EB4A03">
        <w:rPr>
          <w:spacing w:val="-1"/>
        </w:rPr>
        <w:t xml:space="preserve"> would not occur within any road right-of-way. Additionally, as detailed in SPR HYD-2, project proponents will not construct or reconstruct any new roads (including temporary roads). </w:t>
      </w:r>
      <w:r w:rsidRPr="00EB4A03">
        <w:rPr>
          <w:spacing w:val="-1"/>
        </w:rPr>
        <w:t xml:space="preserve">Thus, the implementation </w:t>
      </w:r>
      <w:r w:rsidR="00C86629" w:rsidRPr="00EB4A03">
        <w:rPr>
          <w:spacing w:val="-1"/>
        </w:rPr>
        <w:t>vegetation treatments</w:t>
      </w:r>
      <w:r w:rsidRPr="00EB4A03">
        <w:rPr>
          <w:spacing w:val="-1"/>
        </w:rPr>
        <w:t xml:space="preserve"> under the CalVTP </w:t>
      </w:r>
      <w:r w:rsidR="002A057C" w:rsidRPr="00EB4A03">
        <w:rPr>
          <w:spacing w:val="-1"/>
        </w:rPr>
        <w:t xml:space="preserve">would not substantially increase hazards due to a design feature. </w:t>
      </w:r>
    </w:p>
    <w:p w14:paraId="647F8446" w14:textId="150ED1CE" w:rsidR="00316D89" w:rsidRDefault="00FE3E05" w:rsidP="00D13C09">
      <w:pPr>
        <w:pStyle w:val="BodyText"/>
      </w:pPr>
      <w:r>
        <w:t xml:space="preserve">Prescribed burning operations would produce smoke and could potentially affect visibility along nearby roadways such that a transportation hazard </w:t>
      </w:r>
      <w:r w:rsidR="00C57F91">
        <w:t>c</w:t>
      </w:r>
      <w:r>
        <w:t>ould occur.</w:t>
      </w:r>
      <w:r w:rsidR="00BE7FF5">
        <w:t xml:space="preserve"> Additionally, a</w:t>
      </w:r>
      <w:r w:rsidR="002A057C">
        <w:t xml:space="preserve">s detailed above, the roadway network within </w:t>
      </w:r>
      <w:r w:rsidR="006A1DC0">
        <w:t xml:space="preserve">and surrounding </w:t>
      </w:r>
      <w:r w:rsidR="002A057C">
        <w:t xml:space="preserve">the treatable landscape includes roadways with </w:t>
      </w:r>
      <w:r w:rsidR="002A057C" w:rsidRPr="002E3A30">
        <w:t xml:space="preserve">limited lane and shoulder widths, curvilinear alignment, </w:t>
      </w:r>
      <w:r w:rsidR="002A057C" w:rsidRPr="002E3A30">
        <w:lastRenderedPageBreak/>
        <w:t xml:space="preserve">and </w:t>
      </w:r>
      <w:r w:rsidR="002A057C">
        <w:t xml:space="preserve">that </w:t>
      </w:r>
      <w:r w:rsidR="002A057C" w:rsidRPr="002E3A30">
        <w:t>pass through mountainous terrain</w:t>
      </w:r>
      <w:r w:rsidR="002A057C">
        <w:t xml:space="preserve">. </w:t>
      </w:r>
      <w:r w:rsidR="00C57F91">
        <w:t>Thus, t</w:t>
      </w:r>
      <w:r w:rsidR="002A057C">
        <w:t xml:space="preserve">he hauling of heavy machinery (e.g., bulldozers, excavators) and operation of large </w:t>
      </w:r>
      <w:r w:rsidR="006A1DC0">
        <w:t xml:space="preserve">trucks </w:t>
      </w:r>
      <w:r w:rsidR="002A057C">
        <w:t xml:space="preserve">along </w:t>
      </w:r>
      <w:r w:rsidR="006A1DC0">
        <w:t xml:space="preserve">such </w:t>
      </w:r>
      <w:r w:rsidR="002A057C">
        <w:t xml:space="preserve">roadways </w:t>
      </w:r>
      <w:r w:rsidR="002A057C" w:rsidRPr="00A63A1D">
        <w:t xml:space="preserve">could potentially result in </w:t>
      </w:r>
      <w:r w:rsidR="006A1DC0">
        <w:t xml:space="preserve">increased </w:t>
      </w:r>
      <w:r w:rsidR="002309CF">
        <w:t xml:space="preserve">transportation </w:t>
      </w:r>
      <w:r w:rsidR="006A1DC0">
        <w:t>hazards</w:t>
      </w:r>
      <w:r w:rsidR="002309CF">
        <w:t xml:space="preserve"> due to incompatible uses.</w:t>
      </w:r>
    </w:p>
    <w:p w14:paraId="3525406C" w14:textId="5A7CB0DB" w:rsidR="00316D89" w:rsidRDefault="00FE3E05" w:rsidP="00BE7FF5">
      <w:pPr>
        <w:pStyle w:val="Bullet1"/>
        <w:numPr>
          <w:ilvl w:val="0"/>
          <w:numId w:val="0"/>
        </w:numPr>
      </w:pPr>
      <w:r w:rsidRPr="00BE7FF5">
        <w:t>SPR TRAN-1 requires the project proponent to monitor prescribed burning operations</w:t>
      </w:r>
      <w:r w:rsidR="00BE7FF5" w:rsidRPr="00BE7FF5">
        <w:t xml:space="preserve"> and</w:t>
      </w:r>
      <w:r w:rsidR="00C41CDD">
        <w:t xml:space="preserve"> the associated</w:t>
      </w:r>
      <w:r w:rsidR="00BE7FF5" w:rsidRPr="00BE7FF5">
        <w:t xml:space="preserve"> smoke dispersion. T</w:t>
      </w:r>
      <w:r w:rsidRPr="00BE7FF5">
        <w:t>raffic control operations w</w:t>
      </w:r>
      <w:r w:rsidR="00BE7FF5" w:rsidRPr="00BE7FF5">
        <w:t>ould</w:t>
      </w:r>
      <w:r w:rsidRPr="00BE7FF5">
        <w:t xml:space="preserve"> be initiated in the event burning operations </w:t>
      </w:r>
      <w:r w:rsidR="002309CF">
        <w:t>began</w:t>
      </w:r>
      <w:r w:rsidRPr="00BE7FF5">
        <w:t xml:space="preserve"> </w:t>
      </w:r>
      <w:r w:rsidR="00C41CDD">
        <w:t xml:space="preserve">to </w:t>
      </w:r>
      <w:r w:rsidRPr="00BE7FF5">
        <w:t>affect traffic safety along any roadways.</w:t>
      </w:r>
      <w:r w:rsidR="00BE7FF5">
        <w:t xml:space="preserve"> </w:t>
      </w:r>
      <w:r w:rsidR="00316D89" w:rsidRPr="00FF7AB9">
        <w:t>SPR TRAN-</w:t>
      </w:r>
      <w:r w:rsidR="00D761C3">
        <w:t>1 also</w:t>
      </w:r>
      <w:r w:rsidR="00316D89">
        <w:t xml:space="preserve"> requires</w:t>
      </w:r>
      <w:r w:rsidR="00BF7F9F">
        <w:t xml:space="preserve"> that if deemed necessary by the treatment manager,</w:t>
      </w:r>
      <w:r w:rsidR="00316D89">
        <w:t xml:space="preserve"> a TMP </w:t>
      </w:r>
      <w:r w:rsidR="001B458E">
        <w:t xml:space="preserve">will </w:t>
      </w:r>
      <w:r w:rsidR="00316D89">
        <w:t>be prepared prior to initiating vegetation treatment activities</w:t>
      </w:r>
      <w:r w:rsidR="0092531C">
        <w:t xml:space="preserve"> if</w:t>
      </w:r>
      <w:r w:rsidR="0092531C" w:rsidRPr="0092531C">
        <w:t xml:space="preserve"> </w:t>
      </w:r>
      <w:r w:rsidR="0092531C">
        <w:t>traffic generated by the qualifying project would result in obstructions, hazards, or delays exceeding applicable jurisdictional standards along access routes for individual vegetation treatments</w:t>
      </w:r>
      <w:r w:rsidR="00316D89">
        <w:t>.</w:t>
      </w:r>
      <w:r w:rsidR="001F53BA">
        <w:t xml:space="preserve"> </w:t>
      </w:r>
      <w:r w:rsidR="00316D89">
        <w:t xml:space="preserve">The TMP will </w:t>
      </w:r>
      <w:r w:rsidR="001B458E">
        <w:t>include</w:t>
      </w:r>
      <w:r w:rsidR="00316D89">
        <w:t xml:space="preserve"> measures to avoid and minimize traffic obstructions and hazards along affected roadway facilities, as needed.</w:t>
      </w:r>
      <w:r w:rsidR="00316D89" w:rsidRPr="00316D89">
        <w:t xml:space="preserve"> </w:t>
      </w:r>
      <w:r w:rsidR="00316D89">
        <w:t>The scope of the TMP will depend on the type, intensity, and duration of the specific vegetation treatments under the CalVTP.</w:t>
      </w:r>
    </w:p>
    <w:p w14:paraId="0A58CB02" w14:textId="23D2F711" w:rsidR="00FE3E05" w:rsidRDefault="004E0866" w:rsidP="00BE7FF5">
      <w:pPr>
        <w:pStyle w:val="Bullet1"/>
        <w:numPr>
          <w:ilvl w:val="0"/>
          <w:numId w:val="0"/>
        </w:numPr>
      </w:pPr>
      <w:r>
        <w:t xml:space="preserve">Measures included in the TMP could include (but are not be limited to) notification of vegetation treatments, temporary traffic </w:t>
      </w:r>
      <w:r w:rsidRPr="00194B5A">
        <w:t>control signage,</w:t>
      </w:r>
      <w:r>
        <w:t xml:space="preserve"> flaggers for lane closures.</w:t>
      </w:r>
      <w:r w:rsidR="006A1DC0">
        <w:t xml:space="preserve">, </w:t>
      </w:r>
      <w:r w:rsidR="00C41CDD">
        <w:t xml:space="preserve">and </w:t>
      </w:r>
      <w:r w:rsidR="006A1DC0">
        <w:t>delivery</w:t>
      </w:r>
      <w:r w:rsidR="00C41CDD">
        <w:t xml:space="preserve">, </w:t>
      </w:r>
      <w:r w:rsidR="00CB7B35">
        <w:t>hauling</w:t>
      </w:r>
      <w:r w:rsidR="00C41CDD">
        <w:t xml:space="preserve">, and worker </w:t>
      </w:r>
      <w:r w:rsidR="00FA31C4">
        <w:t xml:space="preserve">commute </w:t>
      </w:r>
      <w:r w:rsidR="006A1DC0">
        <w:t>schedule restrictions</w:t>
      </w:r>
      <w:r w:rsidR="00C41CDD">
        <w:t xml:space="preserve">. </w:t>
      </w:r>
      <w:r w:rsidR="006A1DC0" w:rsidRPr="00A57425">
        <w:t xml:space="preserve">These measures would promote </w:t>
      </w:r>
      <w:r w:rsidR="00CB7B35">
        <w:t xml:space="preserve">safe and efficient </w:t>
      </w:r>
      <w:r>
        <w:t>transportation circulation</w:t>
      </w:r>
      <w:r w:rsidR="006A1DC0" w:rsidRPr="00A57425">
        <w:t xml:space="preserve"> during </w:t>
      </w:r>
      <w:r w:rsidR="00FA31C4">
        <w:t>vegetation treatment</w:t>
      </w:r>
      <w:r>
        <w:t xml:space="preserve"> projects</w:t>
      </w:r>
      <w:r w:rsidR="00FA31C4">
        <w:t xml:space="preserve"> </w:t>
      </w:r>
      <w:r w:rsidR="006A1DC0" w:rsidRPr="00A57425">
        <w:t xml:space="preserve">and would </w:t>
      </w:r>
      <w:r w:rsidR="00C41CDD">
        <w:t>address</w:t>
      </w:r>
      <w:r w:rsidR="00CB7B35">
        <w:t xml:space="preserve"> </w:t>
      </w:r>
      <w:r w:rsidR="00C41CDD">
        <w:t xml:space="preserve">and plan for </w:t>
      </w:r>
      <w:r w:rsidR="00CB7B35">
        <w:t xml:space="preserve">any potential transportation hazards </w:t>
      </w:r>
      <w:r w:rsidR="006A1DC0">
        <w:t>resulting from</w:t>
      </w:r>
      <w:r w:rsidR="00CB7B35">
        <w:t xml:space="preserve"> the operation of incompatible vehicles on roadways not designed to accommodate these vehicle classes. </w:t>
      </w:r>
    </w:p>
    <w:p w14:paraId="36B58F6A" w14:textId="130CB8F3" w:rsidR="00377B59" w:rsidRDefault="00CB7B35" w:rsidP="00CB7B35">
      <w:pPr>
        <w:pStyle w:val="BodyText"/>
        <w:spacing w:before="240"/>
      </w:pPr>
      <w:r w:rsidRPr="00055DAB">
        <w:t xml:space="preserve">Additionally, </w:t>
      </w:r>
      <w:r>
        <w:t xml:space="preserve">as described above, </w:t>
      </w:r>
      <w:r w:rsidR="00377B59">
        <w:t>SPR AD-3 requires that treatments be designed and implemented in a manner that is consistent with applicable local plans (e.g., general plans), policies, and ordinances to the extent the treatment is subject to them.</w:t>
      </w:r>
      <w:r w:rsidR="00FB4417">
        <w:t xml:space="preserve"> </w:t>
      </w:r>
      <w:r>
        <w:rPr>
          <w:spacing w:val="2"/>
        </w:rPr>
        <w:t xml:space="preserve">Therefore, with implementation of SPR AD-3, </w:t>
      </w:r>
      <w:r w:rsidR="00377B59">
        <w:rPr>
          <w:spacing w:val="2"/>
        </w:rPr>
        <w:t>traffic generated by vegetation treatment activities under the CalVTP would comply with</w:t>
      </w:r>
      <w:r w:rsidR="00377B59">
        <w:t xml:space="preserve"> local standards and policies including, but not limited to </w:t>
      </w:r>
      <w:r>
        <w:t xml:space="preserve">any applicable transportation haul and/or oversized trucking requirements. </w:t>
      </w:r>
      <w:r w:rsidR="00377B59">
        <w:rPr>
          <w:spacing w:val="2"/>
        </w:rPr>
        <w:t xml:space="preserve">Therefore, with implementation of SPR AD-3, the vehicle traffic associated with vegetation treatment activities under the CalVTP would not </w:t>
      </w:r>
      <w:r w:rsidR="00377B59">
        <w:t>conflict with local programs, plans, ordinances, or policies addressing the circulation system</w:t>
      </w:r>
      <w:r w:rsidR="00377B59" w:rsidRPr="00AE43E1">
        <w:t xml:space="preserve"> </w:t>
      </w:r>
      <w:r w:rsidR="00377B59">
        <w:t>to the extent the project is subject to them.</w:t>
      </w:r>
    </w:p>
    <w:p w14:paraId="5D333ABD" w14:textId="13510FBA" w:rsidR="006A1DC0" w:rsidRPr="00C05D7F" w:rsidRDefault="007777F3" w:rsidP="00437DA4">
      <w:pPr>
        <w:pStyle w:val="BodyText"/>
        <w:spacing w:before="240"/>
        <w:rPr>
          <w:highlight w:val="yellow"/>
        </w:rPr>
      </w:pPr>
      <w:r>
        <w:t xml:space="preserve">Implementation of the CalVTP </w:t>
      </w:r>
      <w:r w:rsidR="008D13B9" w:rsidRPr="001D1A5F">
        <w:t>would not require the construction, re-design, or alteration of any roadways.</w:t>
      </w:r>
      <w:r w:rsidR="001F53BA">
        <w:t xml:space="preserve"> </w:t>
      </w:r>
      <w:r w:rsidR="008D13B9">
        <w:t>Additionally, ea</w:t>
      </w:r>
      <w:r w:rsidR="00AB59BF">
        <w:t>ch qualifying</w:t>
      </w:r>
      <w:r w:rsidR="00AB59BF" w:rsidRPr="00754BD5">
        <w:t xml:space="preserve"> </w:t>
      </w:r>
      <w:r w:rsidR="00AB59BF">
        <w:t>vegetation treatment</w:t>
      </w:r>
      <w:r w:rsidR="00AB59BF" w:rsidRPr="00754BD5">
        <w:t xml:space="preserve"> project under th</w:t>
      </w:r>
      <w:r w:rsidR="00AB59BF">
        <w:t>e</w:t>
      </w:r>
      <w:r w:rsidR="00AB59BF" w:rsidRPr="00754BD5">
        <w:t xml:space="preserve"> </w:t>
      </w:r>
      <w:r w:rsidR="00AB59BF">
        <w:t>CalVTP</w:t>
      </w:r>
      <w:r w:rsidR="00AB59BF" w:rsidRPr="00754BD5">
        <w:t xml:space="preserve"> would be required to adhere to the SPRs</w:t>
      </w:r>
      <w:r w:rsidR="00AB59BF">
        <w:t xml:space="preserve"> identified above that manage and minimize potential hazards due to</w:t>
      </w:r>
      <w:r w:rsidR="00BE7FF5">
        <w:t xml:space="preserve"> smoke associated with prescribe burns</w:t>
      </w:r>
      <w:r>
        <w:t>,</w:t>
      </w:r>
      <w:r w:rsidR="00BE7FF5">
        <w:t xml:space="preserve"> and</w:t>
      </w:r>
      <w:r w:rsidR="00AB59BF">
        <w:t xml:space="preserve"> the operation of incompatible uses along the roadway network during </w:t>
      </w:r>
      <w:r>
        <w:t xml:space="preserve">vegetation </w:t>
      </w:r>
      <w:r w:rsidR="00AB59BF">
        <w:t>treatment</w:t>
      </w:r>
      <w:r>
        <w:t>s</w:t>
      </w:r>
      <w:r w:rsidR="00AB59BF" w:rsidRPr="00384F26">
        <w:t xml:space="preserve">. </w:t>
      </w:r>
      <w:r w:rsidR="00C05D7F">
        <w:t xml:space="preserve">Additionally, project-generated effects to transportation hazards </w:t>
      </w:r>
      <w:r w:rsidR="00C05D7F" w:rsidRPr="00384F26">
        <w:t xml:space="preserve">would be localized and temporary, and the project proponent would prepare and implement a TMP to reduce </w:t>
      </w:r>
      <w:r w:rsidR="00C05D7F">
        <w:t xml:space="preserve">any </w:t>
      </w:r>
      <w:r w:rsidR="00C05D7F" w:rsidRPr="00384F26">
        <w:t xml:space="preserve">temporary transportation </w:t>
      </w:r>
      <w:r w:rsidR="00C05D7F">
        <w:t>effects t</w:t>
      </w:r>
      <w:r w:rsidR="00C05D7F" w:rsidRPr="00384F26">
        <w:t xml:space="preserve">o the degree feasible. </w:t>
      </w:r>
      <w:r w:rsidR="00AB59BF" w:rsidRPr="00F9288D">
        <w:t xml:space="preserve">Therefore, </w:t>
      </w:r>
      <w:r w:rsidR="008D13B9">
        <w:t xml:space="preserve">vegetation treatment activities would not substantially increase hazards due to a design feature or incompatible uses. This impact </w:t>
      </w:r>
      <w:r w:rsidR="00AB59BF" w:rsidRPr="00F9288D">
        <w:t xml:space="preserve">would be </w:t>
      </w:r>
      <w:r w:rsidR="00AB59BF" w:rsidRPr="00F9288D">
        <w:rPr>
          <w:b/>
        </w:rPr>
        <w:t>less than significant</w:t>
      </w:r>
      <w:r w:rsidR="00AB59BF" w:rsidRPr="00D13C09">
        <w:t>.</w:t>
      </w:r>
    </w:p>
    <w:p w14:paraId="7AE60BEF" w14:textId="77777777" w:rsidR="008D490A" w:rsidRDefault="008D490A" w:rsidP="008D490A">
      <w:pPr>
        <w:pStyle w:val="Heading5"/>
      </w:pPr>
      <w:r w:rsidRPr="009328EF">
        <w:t>Mitigation Measures</w:t>
      </w:r>
    </w:p>
    <w:p w14:paraId="4D46EBF9" w14:textId="0FA056B0" w:rsidR="00250249" w:rsidRDefault="008D490A" w:rsidP="000C7B46">
      <w:pPr>
        <w:pStyle w:val="Mitigationtext"/>
      </w:pPr>
      <w:r>
        <w:t xml:space="preserve">No mitigation is required for this impact. </w:t>
      </w:r>
    </w:p>
    <w:p w14:paraId="7A429973" w14:textId="17807201" w:rsidR="00381D6D" w:rsidRPr="00CC6793" w:rsidRDefault="00381D6D" w:rsidP="00381D6D">
      <w:pPr>
        <w:pStyle w:val="ImpactNo"/>
      </w:pPr>
      <w:r w:rsidRPr="00CC6793">
        <w:t xml:space="preserve">Impact </w:t>
      </w:r>
      <w:r>
        <w:t>TRAN-3</w:t>
      </w:r>
      <w:r w:rsidRPr="00CC6793">
        <w:t xml:space="preserve">: </w:t>
      </w:r>
      <w:r>
        <w:t xml:space="preserve">Result </w:t>
      </w:r>
      <w:r w:rsidR="00D13C09">
        <w:t xml:space="preserve">In </w:t>
      </w:r>
      <w:r>
        <w:t xml:space="preserve">a </w:t>
      </w:r>
      <w:r w:rsidR="00D13C09">
        <w:t xml:space="preserve">Net Increase </w:t>
      </w:r>
      <w:r>
        <w:t>in VMT</w:t>
      </w:r>
      <w:r w:rsidR="00094865">
        <w:t xml:space="preserve"> </w:t>
      </w:r>
      <w:r w:rsidR="00B20994">
        <w:t>for the</w:t>
      </w:r>
      <w:r w:rsidR="00094865">
        <w:t xml:space="preserve"> </w:t>
      </w:r>
      <w:r w:rsidR="00D13C09">
        <w:t xml:space="preserve">Proposed </w:t>
      </w:r>
      <w:r w:rsidR="00094865">
        <w:t>CalVTP</w:t>
      </w:r>
    </w:p>
    <w:p w14:paraId="1052B9A1" w14:textId="69783CC2" w:rsidR="00381D6D" w:rsidRPr="00CC6793" w:rsidRDefault="00D1603F" w:rsidP="00C952DD">
      <w:pPr>
        <w:pStyle w:val="Impactdescription"/>
      </w:pPr>
      <w:r w:rsidRPr="00ED7E73">
        <w:t>Under the proposed CalVTP</w:t>
      </w:r>
      <w:r>
        <w:t>,</w:t>
      </w:r>
      <w:r w:rsidRPr="00ED7E73">
        <w:t xml:space="preserve"> the</w:t>
      </w:r>
      <w:r>
        <w:t xml:space="preserve"> scale of </w:t>
      </w:r>
      <w:r w:rsidRPr="00ED7E73">
        <w:t>treatment activities would substantially increase to achieve the annual treatment target of approximately 250,000 acres. With the increase in treatment acreage, the VMT generated</w:t>
      </w:r>
      <w:r>
        <w:t xml:space="preserve"> by treatment activities</w:t>
      </w:r>
      <w:r w:rsidRPr="00ED7E73">
        <w:t xml:space="preserve"> in comparison to existing conditions would </w:t>
      </w:r>
      <w:r w:rsidR="00C8107D">
        <w:t xml:space="preserve">also </w:t>
      </w:r>
      <w:r w:rsidRPr="00ED7E73">
        <w:t>increase</w:t>
      </w:r>
      <w:r w:rsidR="00C8107D">
        <w:t xml:space="preserve"> because many more individual treatment projects would be implemented</w:t>
      </w:r>
      <w:r w:rsidRPr="00ED7E73">
        <w:t xml:space="preserve">. </w:t>
      </w:r>
      <w:r w:rsidR="00034110">
        <w:t>A key goal of</w:t>
      </w:r>
      <w:r>
        <w:t xml:space="preserve"> the CalVTP is to </w:t>
      </w:r>
      <w:r w:rsidR="00387965">
        <w:t xml:space="preserve">decrease the occurrence </w:t>
      </w:r>
      <w:r w:rsidR="00034110">
        <w:t xml:space="preserve">and severity </w:t>
      </w:r>
      <w:r w:rsidR="00387965">
        <w:t>of wildfires</w:t>
      </w:r>
      <w:r w:rsidR="00034110">
        <w:t>.</w:t>
      </w:r>
      <w:r w:rsidR="00FB4417">
        <w:t xml:space="preserve"> </w:t>
      </w:r>
      <w:r w:rsidR="00034110">
        <w:t>Reduced occurrence and severity of wildfires</w:t>
      </w:r>
      <w:r>
        <w:t xml:space="preserve"> </w:t>
      </w:r>
      <w:r w:rsidR="00387965" w:rsidRPr="0044349E">
        <w:t xml:space="preserve">would </w:t>
      </w:r>
      <w:r w:rsidR="00387965">
        <w:t xml:space="preserve">result in </w:t>
      </w:r>
      <w:r w:rsidR="00034110">
        <w:t>a reduction in response activity and trips, which would be reasonably expected to</w:t>
      </w:r>
      <w:r w:rsidR="00387965">
        <w:t xml:space="preserve"> decrease in VMT </w:t>
      </w:r>
      <w:r w:rsidR="00387965" w:rsidRPr="0044349E">
        <w:t>over the long term</w:t>
      </w:r>
      <w:r w:rsidR="00034110">
        <w:t>, compared to conditions without the CalVTP.</w:t>
      </w:r>
      <w:r w:rsidR="00FB4417">
        <w:t xml:space="preserve"> </w:t>
      </w:r>
      <w:r w:rsidR="00387965">
        <w:t xml:space="preserve">However, </w:t>
      </w:r>
      <w:r w:rsidR="00034110">
        <w:t>it is not feasible to</w:t>
      </w:r>
      <w:r w:rsidR="00387965" w:rsidRPr="00F854A1">
        <w:t xml:space="preserve"> predicting </w:t>
      </w:r>
      <w:r w:rsidR="00034110">
        <w:t>changes in</w:t>
      </w:r>
      <w:r w:rsidR="00387965" w:rsidRPr="00F854A1">
        <w:t xml:space="preserve"> wildfire occurrence</w:t>
      </w:r>
      <w:r w:rsidR="00034110">
        <w:t xml:space="preserve"> and severity sufficiently to quantify potential changes in fire response VMT.</w:t>
      </w:r>
      <w:r w:rsidR="00FB4417">
        <w:t xml:space="preserve"> </w:t>
      </w:r>
      <w:r w:rsidR="00387965">
        <w:t>Thus, to meet CEQA</w:t>
      </w:r>
      <w:r w:rsidR="00FB4417">
        <w:t>’</w:t>
      </w:r>
      <w:r w:rsidR="00387965">
        <w:t xml:space="preserve">s mandate of good faith disclosure and to not risk understating potential future impacts in light of the uncertainties, this PEIR classifies this impact as </w:t>
      </w:r>
      <w:r w:rsidR="00387965" w:rsidRPr="00145C45">
        <w:rPr>
          <w:b/>
        </w:rPr>
        <w:t>potentially significant</w:t>
      </w:r>
      <w:r w:rsidR="00387965" w:rsidRPr="00986C3A">
        <w:t>,</w:t>
      </w:r>
      <w:r w:rsidR="00387965">
        <w:t xml:space="preserve"> </w:t>
      </w:r>
      <w:r>
        <w:t xml:space="preserve">because </w:t>
      </w:r>
      <w:r w:rsidRPr="00ED7E73">
        <w:t xml:space="preserve">VMT generated by vegetation treatments </w:t>
      </w:r>
      <w:r>
        <w:t xml:space="preserve">under the CalVTP </w:t>
      </w:r>
      <w:r w:rsidRPr="00ED7E73">
        <w:t>would increase in comparison to existing conditions</w:t>
      </w:r>
      <w:r>
        <w:t>,</w:t>
      </w:r>
      <w:r w:rsidRPr="00ED7E73">
        <w:t xml:space="preserve"> </w:t>
      </w:r>
      <w:r w:rsidR="00387965">
        <w:t xml:space="preserve">notwithstanding the </w:t>
      </w:r>
      <w:r w:rsidR="00034110">
        <w:t xml:space="preserve">potential </w:t>
      </w:r>
      <w:r>
        <w:t xml:space="preserve">VMT-reducing effects of reduced wildfire </w:t>
      </w:r>
      <w:r w:rsidR="00034110">
        <w:t>response</w:t>
      </w:r>
      <w:r w:rsidR="00387965">
        <w:t>.</w:t>
      </w:r>
    </w:p>
    <w:p w14:paraId="10704103" w14:textId="05C96DFD" w:rsidR="00654B27" w:rsidRDefault="009D3153" w:rsidP="002F05FF">
      <w:pPr>
        <w:pStyle w:val="BodyText"/>
      </w:pPr>
      <w:r w:rsidRPr="00ED7E73">
        <w:lastRenderedPageBreak/>
        <w:t xml:space="preserve">Under existing conditions, vegetation treatments are implemented within the treatable landscape by CAL FIRE and other land management agencies and agencies with land ownership responsibilities. As described in Section 2.3.1 of Chapter 2, </w:t>
      </w:r>
      <w:r w:rsidR="00FB4417">
        <w:t>“</w:t>
      </w:r>
      <w:r w:rsidRPr="00ED7E73">
        <w:t>Program Description</w:t>
      </w:r>
      <w:r w:rsidR="00FB4417">
        <w:t>,”</w:t>
      </w:r>
      <w:r w:rsidRPr="00ED7E73">
        <w:t xml:space="preserve"> CAL FIRE </w:t>
      </w:r>
      <w:r w:rsidR="00654B27">
        <w:t xml:space="preserve">treated </w:t>
      </w:r>
      <w:r w:rsidRPr="00ED7E73">
        <w:t xml:space="preserve">approximately 33,000 acres </w:t>
      </w:r>
      <w:r w:rsidR="00654B27">
        <w:t>in 2017/2018</w:t>
      </w:r>
      <w:r w:rsidRPr="00ED7E73">
        <w:t xml:space="preserve"> and other agencies currently treat additional acres </w:t>
      </w:r>
      <w:r w:rsidR="00654B27">
        <w:t>with</w:t>
      </w:r>
      <w:r w:rsidRPr="00ED7E73">
        <w:t xml:space="preserve">in the treatable landscape. </w:t>
      </w:r>
      <w:r w:rsidR="00654B27">
        <w:t>These treatment activities generate a baseline amount of VMT from h</w:t>
      </w:r>
      <w:r w:rsidR="00654B27" w:rsidRPr="00680334">
        <w:t>eavy</w:t>
      </w:r>
      <w:r w:rsidR="00654B27">
        <w:t>-</w:t>
      </w:r>
      <w:r w:rsidR="00654B27" w:rsidRPr="00680334">
        <w:t>vehicle</w:t>
      </w:r>
      <w:r w:rsidR="00654B27">
        <w:t xml:space="preserve"> trips</w:t>
      </w:r>
      <w:r w:rsidR="00654B27" w:rsidRPr="00680334">
        <w:t xml:space="preserve"> </w:t>
      </w:r>
      <w:r w:rsidR="00654B27">
        <w:t>to haul equipment and materials, and trips associated with the workers commuting to and from the treatment areas. Additionally, the vegetative debris produced by mechanical and manual treatments is currently hauled by truck to processing facilities.</w:t>
      </w:r>
    </w:p>
    <w:p w14:paraId="37C40E16" w14:textId="0AE66367" w:rsidR="009D3153" w:rsidRPr="00ED7E73" w:rsidRDefault="009D3153" w:rsidP="002F05FF">
      <w:pPr>
        <w:pStyle w:val="BodyText"/>
      </w:pPr>
      <w:r w:rsidRPr="00ED7E73">
        <w:t>Under the proposed CalVTP</w:t>
      </w:r>
      <w:r w:rsidR="00654B27">
        <w:t>,</w:t>
      </w:r>
      <w:r w:rsidRPr="00ED7E73">
        <w:t xml:space="preserve"> the</w:t>
      </w:r>
      <w:r w:rsidR="00654B27">
        <w:t xml:space="preserve"> scale of the</w:t>
      </w:r>
      <w:r w:rsidRPr="00ED7E73">
        <w:t xml:space="preserve">se treatment activities would substantially increase to achieve the annual treatment target of approximately 250,000 acres. </w:t>
      </w:r>
      <w:r w:rsidR="00ED7E73" w:rsidRPr="00ED7E73">
        <w:t>With the</w:t>
      </w:r>
      <w:r w:rsidRPr="00ED7E73">
        <w:t xml:space="preserve"> increase in treatment acreage, </w:t>
      </w:r>
      <w:r w:rsidR="00ED7E73" w:rsidRPr="00ED7E73">
        <w:t>the</w:t>
      </w:r>
      <w:r w:rsidRPr="00ED7E73">
        <w:t xml:space="preserve"> </w:t>
      </w:r>
      <w:r w:rsidR="00ED7E73" w:rsidRPr="00ED7E73">
        <w:t xml:space="preserve">VMT generated </w:t>
      </w:r>
      <w:r w:rsidRPr="00ED7E73">
        <w:t xml:space="preserve">in comparison to existing conditions would increase. </w:t>
      </w:r>
      <w:r w:rsidR="00654B27">
        <w:t xml:space="preserve">The VMT would vary based on the </w:t>
      </w:r>
      <w:r w:rsidR="00034110">
        <w:t xml:space="preserve">location, </w:t>
      </w:r>
      <w:r w:rsidR="00654B27">
        <w:t xml:space="preserve">size of the area being treated, the type of treatment being implemented, and the duration of the vegetation treatments. </w:t>
      </w:r>
      <w:r w:rsidR="00034110">
        <w:t xml:space="preserve">Because </w:t>
      </w:r>
      <w:r w:rsidR="00ED7E73" w:rsidRPr="00ED7E73">
        <w:t>the</w:t>
      </w:r>
      <w:r w:rsidR="00ED7E73" w:rsidRPr="00ED7E73">
        <w:rPr>
          <w:bCs/>
        </w:rPr>
        <w:t xml:space="preserve"> </w:t>
      </w:r>
      <w:r w:rsidR="00034110">
        <w:rPr>
          <w:bCs/>
        </w:rPr>
        <w:t xml:space="preserve">specific </w:t>
      </w:r>
      <w:r w:rsidR="00ED7E73" w:rsidRPr="00ED7E73">
        <w:rPr>
          <w:bCs/>
        </w:rPr>
        <w:t>location</w:t>
      </w:r>
      <w:r w:rsidR="00034110">
        <w:rPr>
          <w:bCs/>
        </w:rPr>
        <w:t>s</w:t>
      </w:r>
      <w:r w:rsidR="00ED7E73" w:rsidRPr="00ED7E73">
        <w:rPr>
          <w:bCs/>
        </w:rPr>
        <w:t xml:space="preserve"> of </w:t>
      </w:r>
      <w:r w:rsidR="00385D63">
        <w:rPr>
          <w:bCs/>
        </w:rPr>
        <w:t xml:space="preserve">CalVTP </w:t>
      </w:r>
      <w:r w:rsidR="00ED7E73" w:rsidRPr="00ED7E73">
        <w:rPr>
          <w:bCs/>
        </w:rPr>
        <w:t>vegetation treatments</w:t>
      </w:r>
      <w:r w:rsidR="00034110">
        <w:rPr>
          <w:bCs/>
        </w:rPr>
        <w:t>,</w:t>
      </w:r>
      <w:r w:rsidR="00385D63">
        <w:rPr>
          <w:bCs/>
        </w:rPr>
        <w:t xml:space="preserve"> the</w:t>
      </w:r>
      <w:r w:rsidR="00654B27">
        <w:rPr>
          <w:bCs/>
        </w:rPr>
        <w:t xml:space="preserve"> </w:t>
      </w:r>
      <w:r w:rsidR="00385D63">
        <w:rPr>
          <w:bCs/>
        </w:rPr>
        <w:t>origin</w:t>
      </w:r>
      <w:r w:rsidR="00654B27">
        <w:rPr>
          <w:bCs/>
        </w:rPr>
        <w:t xml:space="preserve"> of workers and equipment</w:t>
      </w:r>
      <w:r w:rsidR="00034110">
        <w:rPr>
          <w:bCs/>
        </w:rPr>
        <w:t>,</w:t>
      </w:r>
      <w:r w:rsidR="00654B27">
        <w:rPr>
          <w:bCs/>
        </w:rPr>
        <w:t xml:space="preserve"> and </w:t>
      </w:r>
      <w:r w:rsidR="00034110">
        <w:rPr>
          <w:bCs/>
        </w:rPr>
        <w:t xml:space="preserve">number of crew and vehicles are variable from year to year, </w:t>
      </w:r>
      <w:r w:rsidR="00ED7E73" w:rsidRPr="00ED7E73">
        <w:rPr>
          <w:bCs/>
        </w:rPr>
        <w:t xml:space="preserve">VMT </w:t>
      </w:r>
      <w:r w:rsidR="00385D63">
        <w:rPr>
          <w:bCs/>
        </w:rPr>
        <w:t xml:space="preserve">generated </w:t>
      </w:r>
      <w:r w:rsidR="00ED7E73" w:rsidRPr="00ED7E73">
        <w:rPr>
          <w:bCs/>
        </w:rPr>
        <w:t xml:space="preserve">under the CalVTP cannot </w:t>
      </w:r>
      <w:r w:rsidRPr="00ED7E73">
        <w:t xml:space="preserve">be </w:t>
      </w:r>
      <w:r w:rsidR="00034110">
        <w:t xml:space="preserve">meaningfully </w:t>
      </w:r>
      <w:r w:rsidR="00ED7E73" w:rsidRPr="00ED7E73">
        <w:t xml:space="preserve">quantified. </w:t>
      </w:r>
      <w:r w:rsidR="00FA057D">
        <w:t>Im</w:t>
      </w:r>
      <w:r w:rsidR="00FA057D" w:rsidRPr="00385D63">
        <w:t xml:space="preserve">plementation of the proposed program would increase VMT </w:t>
      </w:r>
      <w:r w:rsidR="00FA057D">
        <w:t xml:space="preserve">above current conditions, because the </w:t>
      </w:r>
      <w:r w:rsidR="006A1EEF">
        <w:t xml:space="preserve">greater proposed </w:t>
      </w:r>
      <w:r w:rsidR="00FA057D">
        <w:t xml:space="preserve">scale of vegetation treatments and associated trips. </w:t>
      </w:r>
      <w:r w:rsidR="00FA057D">
        <w:rPr>
          <w:bCs/>
        </w:rPr>
        <w:t>I</w:t>
      </w:r>
      <w:r w:rsidR="00FA057D" w:rsidRPr="005D089C">
        <w:rPr>
          <w:bCs/>
        </w:rPr>
        <w:t>ndividual vegetation treatment projects under the CalVTP are likely to generate fewer than 110 trips per day which is generally assumed to cause a less-than-significant transportation impact</w:t>
      </w:r>
      <w:r w:rsidR="006A1EEF">
        <w:rPr>
          <w:bCs/>
        </w:rPr>
        <w:t xml:space="preserve"> for specific later activities,</w:t>
      </w:r>
      <w:r w:rsidR="00FA057D" w:rsidRPr="005D089C">
        <w:rPr>
          <w:bCs/>
        </w:rPr>
        <w:t xml:space="preserve"> as describe</w:t>
      </w:r>
      <w:r w:rsidR="00810ADA">
        <w:rPr>
          <w:bCs/>
        </w:rPr>
        <w:t>d</w:t>
      </w:r>
      <w:r w:rsidR="00FA057D" w:rsidRPr="005D089C">
        <w:rPr>
          <w:bCs/>
        </w:rPr>
        <w:t xml:space="preserve"> in the Technical Advisory on Evaluating Transportation Impacts (OPR 2018).</w:t>
      </w:r>
      <w:r w:rsidR="00FA057D">
        <w:rPr>
          <w:bCs/>
        </w:rPr>
        <w:t xml:space="preserve"> </w:t>
      </w:r>
      <w:r w:rsidR="0046370B">
        <w:rPr>
          <w:bCs/>
        </w:rPr>
        <w:t>Many i</w:t>
      </w:r>
      <w:r w:rsidR="00FA057D">
        <w:rPr>
          <w:bCs/>
        </w:rPr>
        <w:t xml:space="preserve">ndividual treatment projects would contribute to the overall </w:t>
      </w:r>
      <w:r w:rsidR="006A1EEF">
        <w:rPr>
          <w:bCs/>
        </w:rPr>
        <w:t xml:space="preserve">annual program, so </w:t>
      </w:r>
      <w:r w:rsidR="0046370B">
        <w:rPr>
          <w:bCs/>
        </w:rPr>
        <w:t xml:space="preserve">a net increase in VMT would occur </w:t>
      </w:r>
      <w:r w:rsidR="006A1EEF">
        <w:rPr>
          <w:bCs/>
        </w:rPr>
        <w:t>for annual implementation of the CalVT</w:t>
      </w:r>
      <w:r w:rsidR="0046370B">
        <w:rPr>
          <w:bCs/>
        </w:rPr>
        <w:t>P</w:t>
      </w:r>
      <w:r w:rsidR="00FA057D">
        <w:rPr>
          <w:bCs/>
        </w:rPr>
        <w:t>.</w:t>
      </w:r>
      <w:r w:rsidR="00FB4417">
        <w:rPr>
          <w:bCs/>
        </w:rPr>
        <w:t xml:space="preserve"> </w:t>
      </w:r>
    </w:p>
    <w:p w14:paraId="18E4C6A1" w14:textId="77777777" w:rsidR="00393CF0" w:rsidRDefault="009D3153" w:rsidP="002F05FF">
      <w:pPr>
        <w:pStyle w:val="BodyText"/>
      </w:pPr>
      <w:r w:rsidRPr="00ED7E73">
        <w:t xml:space="preserve">A primary objective of the CalVTP is to reduce wildfire risk. </w:t>
      </w:r>
      <w:r w:rsidRPr="003C2A02">
        <w:t>Wildfires require an immediate response from emergency personnel and mobilization of equipment. During wildfires that exceed the containment capacity of local resources, per</w:t>
      </w:r>
      <w:r w:rsidRPr="004C4031">
        <w:t>sonnel from throughout the state (and occasionally nationally and internationally) are dispatched to assist in firefighting</w:t>
      </w:r>
      <w:r w:rsidR="004C4031" w:rsidRPr="004C4031">
        <w:t xml:space="preserve">. </w:t>
      </w:r>
      <w:r w:rsidR="003C2A02" w:rsidRPr="004C4031">
        <w:t>The reduction of VMT</w:t>
      </w:r>
      <w:r w:rsidRPr="004C4031">
        <w:t xml:space="preserve"> is not a primary consideration during wildfires. Rather, protecting human life and property is prioritized.</w:t>
      </w:r>
      <w:r w:rsidR="00385D63">
        <w:t xml:space="preserve"> </w:t>
      </w:r>
      <w:r w:rsidRPr="004C4031">
        <w:t>Th</w:t>
      </w:r>
      <w:r w:rsidR="00DE6081">
        <w:t>e</w:t>
      </w:r>
      <w:r w:rsidRPr="004C4031">
        <w:t xml:space="preserve"> movement of personnel </w:t>
      </w:r>
      <w:r w:rsidR="00DE6081">
        <w:t xml:space="preserve">associated with containment of wildfires </w:t>
      </w:r>
      <w:r w:rsidRPr="004C4031">
        <w:t xml:space="preserve">results in a surge of </w:t>
      </w:r>
      <w:r w:rsidR="004C4031" w:rsidRPr="004C4031">
        <w:t>VMT</w:t>
      </w:r>
      <w:r w:rsidRPr="004C4031">
        <w:t xml:space="preserve"> associated with vehicle travel. While implementation of treatment activities under the CalVTP cannot ensure that </w:t>
      </w:r>
      <w:r w:rsidR="0046370B">
        <w:t>wild</w:t>
      </w:r>
      <w:r w:rsidRPr="004C4031">
        <w:t xml:space="preserve">fires would not occur due to </w:t>
      </w:r>
      <w:r w:rsidR="0046370B">
        <w:t xml:space="preserve">known or </w:t>
      </w:r>
      <w:r w:rsidRPr="004C4031">
        <w:t xml:space="preserve">unforeseen factors (e.g., future climate conditions, availability of resources), implementation of the proposed CalVTP </w:t>
      </w:r>
      <w:r w:rsidR="0046370B">
        <w:t>is designed to</w:t>
      </w:r>
      <w:r w:rsidRPr="004C4031">
        <w:t xml:space="preserve"> reduce wildfire </w:t>
      </w:r>
      <w:r w:rsidR="0046370B">
        <w:t>occurrence and severity</w:t>
      </w:r>
      <w:r w:rsidRPr="004C4031">
        <w:t xml:space="preserve"> and the </w:t>
      </w:r>
      <w:r w:rsidR="004C4031" w:rsidRPr="004C4031">
        <w:t xml:space="preserve">surge in VMT resulting from increased trip generation and trip lengths </w:t>
      </w:r>
      <w:r w:rsidRPr="004C4031">
        <w:t xml:space="preserve">associated with </w:t>
      </w:r>
      <w:r w:rsidR="0046370B">
        <w:t xml:space="preserve">response to </w:t>
      </w:r>
      <w:r w:rsidRPr="004C4031">
        <w:t>such</w:t>
      </w:r>
      <w:r w:rsidR="0046370B">
        <w:t xml:space="preserve"> events</w:t>
      </w:r>
      <w:r w:rsidRPr="004C4031">
        <w:t>.</w:t>
      </w:r>
      <w:r w:rsidR="00810ADA">
        <w:t xml:space="preserve"> </w:t>
      </w:r>
    </w:p>
    <w:p w14:paraId="344D4EFC" w14:textId="37AA7F6A" w:rsidR="00DE1216" w:rsidRPr="00385D63" w:rsidRDefault="00810ADA" w:rsidP="002F05FF">
      <w:pPr>
        <w:pStyle w:val="BodyText"/>
      </w:pPr>
      <w:r>
        <w:rPr>
          <w:bCs/>
        </w:rPr>
        <w:t>W</w:t>
      </w:r>
      <w:r w:rsidR="00DE1216">
        <w:rPr>
          <w:bCs/>
        </w:rPr>
        <w:t xml:space="preserve">hen VMT attributable to wildfire response is considered with the VMT from vegetation treatments, it is </w:t>
      </w:r>
      <w:r w:rsidR="0046370B">
        <w:rPr>
          <w:bCs/>
        </w:rPr>
        <w:t>conceivable that</w:t>
      </w:r>
      <w:r w:rsidR="00DE1216">
        <w:rPr>
          <w:bCs/>
        </w:rPr>
        <w:t xml:space="preserve"> implementation of the proposed program </w:t>
      </w:r>
      <w:r w:rsidR="0046370B">
        <w:rPr>
          <w:bCs/>
        </w:rPr>
        <w:t>c</w:t>
      </w:r>
      <w:r w:rsidR="00DE1216">
        <w:rPr>
          <w:bCs/>
        </w:rPr>
        <w:t xml:space="preserve">ould result in a net decrease in total VMT. </w:t>
      </w:r>
      <w:r w:rsidR="00FB1469">
        <w:rPr>
          <w:bCs/>
        </w:rPr>
        <w:t xml:space="preserve">This </w:t>
      </w:r>
      <w:r w:rsidR="0046370B">
        <w:rPr>
          <w:bCs/>
        </w:rPr>
        <w:t>could</w:t>
      </w:r>
      <w:r w:rsidR="00FB1469">
        <w:rPr>
          <w:bCs/>
        </w:rPr>
        <w:t xml:space="preserve"> compensate for </w:t>
      </w:r>
      <w:r w:rsidR="0046370B">
        <w:rPr>
          <w:bCs/>
        </w:rPr>
        <w:t>the</w:t>
      </w:r>
      <w:r w:rsidR="00FB1469">
        <w:rPr>
          <w:bCs/>
        </w:rPr>
        <w:t xml:space="preserve"> comparative</w:t>
      </w:r>
      <w:r w:rsidR="00FA057D">
        <w:rPr>
          <w:bCs/>
        </w:rPr>
        <w:t>ly</w:t>
      </w:r>
      <w:r w:rsidR="00FB1469">
        <w:rPr>
          <w:bCs/>
        </w:rPr>
        <w:t xml:space="preserve"> smaller increase in VMT attributable to increased scale of vegetation treatments</w:t>
      </w:r>
      <w:r w:rsidR="0046370B">
        <w:rPr>
          <w:bCs/>
        </w:rPr>
        <w:t>, but predicting this outcome with certainty is not feasible</w:t>
      </w:r>
      <w:r w:rsidR="00FB1469">
        <w:rPr>
          <w:bCs/>
        </w:rPr>
        <w:t>.</w:t>
      </w:r>
    </w:p>
    <w:p w14:paraId="0BF0CD73" w14:textId="15CAE211" w:rsidR="00FA057D" w:rsidRPr="00E73FDD" w:rsidRDefault="00FA057D" w:rsidP="002F05FF">
      <w:pPr>
        <w:pStyle w:val="BodyText"/>
      </w:pPr>
      <w:bookmarkStart w:id="27" w:name="_Hlk8074530"/>
      <w:r w:rsidRPr="00E73FDD">
        <w:t>In summary,</w:t>
      </w:r>
      <w:r w:rsidRPr="00E73FDD">
        <w:rPr>
          <w:rFonts w:ascii="Times New Roman" w:hAnsi="Times New Roman" w:cs="Times New Roman"/>
          <w:sz w:val="24"/>
          <w:szCs w:val="24"/>
        </w:rPr>
        <w:t xml:space="preserve"> </w:t>
      </w:r>
      <w:r w:rsidRPr="00E73FDD">
        <w:t>due to a</w:t>
      </w:r>
      <w:r w:rsidR="001B458E">
        <w:t>n</w:t>
      </w:r>
      <w:r w:rsidRPr="00E73FDD">
        <w:t xml:space="preserve"> </w:t>
      </w:r>
      <w:r w:rsidR="0046370B">
        <w:t>intended</w:t>
      </w:r>
      <w:r w:rsidR="0046370B" w:rsidRPr="00E73FDD">
        <w:t xml:space="preserve"> </w:t>
      </w:r>
      <w:r w:rsidRPr="00E73FDD">
        <w:t xml:space="preserve">decrease in the occurrence </w:t>
      </w:r>
      <w:r w:rsidR="0046370B">
        <w:t xml:space="preserve">and </w:t>
      </w:r>
      <w:r w:rsidRPr="00E73FDD">
        <w:t xml:space="preserve">severity </w:t>
      </w:r>
      <w:r w:rsidR="001B458E">
        <w:t xml:space="preserve">of </w:t>
      </w:r>
      <w:r w:rsidRPr="00E73FDD">
        <w:t>wildfires following achievement of the proposed treatment acreage targets under the CalVTP, implementation of the CalVTP could result in a net reduction in VMT in the long term</w:t>
      </w:r>
      <w:r w:rsidR="0046370B">
        <w:t xml:space="preserve"> because wildfire response travel could be reduced, resulting in</w:t>
      </w:r>
      <w:r>
        <w:t xml:space="preserve"> a less-than-significant impact</w:t>
      </w:r>
      <w:r w:rsidRPr="00E73FDD">
        <w:t xml:space="preserve">. However, </w:t>
      </w:r>
      <w:r w:rsidR="0046370B">
        <w:t>because of</w:t>
      </w:r>
      <w:r w:rsidRPr="00E73FDD">
        <w:t xml:space="preserve"> the increase in treatment acreage</w:t>
      </w:r>
      <w:r>
        <w:t xml:space="preserve"> </w:t>
      </w:r>
      <w:r w:rsidRPr="00E73FDD">
        <w:t>under the CalVTP</w:t>
      </w:r>
      <w:r>
        <w:t>,</w:t>
      </w:r>
      <w:r w:rsidRPr="00E73FDD">
        <w:t xml:space="preserve"> VMT associated with treatment activities would increase in comparison to </w:t>
      </w:r>
      <w:r>
        <w:t xml:space="preserve">the </w:t>
      </w:r>
      <w:r w:rsidRPr="00E73FDD">
        <w:t xml:space="preserve">existing condition. Additionally, there is uncertainty in predicting future wildfire occurrence and intensity; and thus, </w:t>
      </w:r>
      <w:r w:rsidR="0046370B">
        <w:t xml:space="preserve">recognizing </w:t>
      </w:r>
      <w:r w:rsidRPr="00E73FDD">
        <w:t>uncertainty in future predictions, to meet CEQA</w:t>
      </w:r>
      <w:r w:rsidR="00FB4417">
        <w:t>’</w:t>
      </w:r>
      <w:r w:rsidRPr="00E73FDD">
        <w:t>s mandate of good faith disclosure (</w:t>
      </w:r>
      <w:r w:rsidRPr="00E73FDD">
        <w:rPr>
          <w:i/>
        </w:rPr>
        <w:t>California Native Plant Society v. City of Santa Cruz, supra,</w:t>
      </w:r>
      <w:r w:rsidRPr="00E73FDD">
        <w:t xml:space="preserve"> 177 Cal.App.4th at p. 979) and to not risk</w:t>
      </w:r>
      <w:r w:rsidR="00DF2851">
        <w:t> </w:t>
      </w:r>
      <w:r w:rsidRPr="00E73FDD">
        <w:t xml:space="preserve">understating potential future impacts in light of the uncertainties, this PEIR classifies </w:t>
      </w:r>
      <w:r w:rsidR="0046370B">
        <w:t>the</w:t>
      </w:r>
      <w:r w:rsidR="0046370B" w:rsidRPr="00E73FDD">
        <w:t xml:space="preserve"> </w:t>
      </w:r>
      <w:r w:rsidRPr="00E73FDD">
        <w:t xml:space="preserve">VMT impact as </w:t>
      </w:r>
      <w:r w:rsidRPr="00E73FDD">
        <w:rPr>
          <w:b/>
        </w:rPr>
        <w:t>potentially</w:t>
      </w:r>
      <w:r w:rsidR="00DF2851">
        <w:rPr>
          <w:b/>
        </w:rPr>
        <w:t> </w:t>
      </w:r>
      <w:r w:rsidRPr="00E73FDD">
        <w:rPr>
          <w:b/>
        </w:rPr>
        <w:t>significant</w:t>
      </w:r>
      <w:r w:rsidRPr="00E73FDD">
        <w:t>.</w:t>
      </w:r>
    </w:p>
    <w:bookmarkEnd w:id="27"/>
    <w:p w14:paraId="2B2BA391" w14:textId="77777777" w:rsidR="0048555A" w:rsidRDefault="0048555A" w:rsidP="0048555A">
      <w:pPr>
        <w:pStyle w:val="Heading5"/>
      </w:pPr>
      <w:r w:rsidRPr="009328EF">
        <w:t>Mitigation Measures</w:t>
      </w:r>
    </w:p>
    <w:p w14:paraId="6CEA18FF" w14:textId="5D2B0509" w:rsidR="0046370B" w:rsidRPr="00393CF0" w:rsidRDefault="000F68F9" w:rsidP="002F05FF">
      <w:pPr>
        <w:pStyle w:val="Mitigationtext"/>
      </w:pPr>
      <w:r w:rsidRPr="000F68F9">
        <w:t xml:space="preserve">Vehicular travel associated with implementation of the CalVTP would primarily originate from the </w:t>
      </w:r>
      <w:r>
        <w:t xml:space="preserve">CAL FIRE </w:t>
      </w:r>
      <w:r w:rsidRPr="000F68F9">
        <w:t>operational unit</w:t>
      </w:r>
      <w:r>
        <w:t xml:space="preserve">, or applicable local </w:t>
      </w:r>
      <w:r w:rsidR="006012FB">
        <w:t>operational unit</w:t>
      </w:r>
      <w:r w:rsidR="00810ADA">
        <w:t xml:space="preserve"> of other project proponent</w:t>
      </w:r>
      <w:r w:rsidR="006012FB">
        <w:t>,</w:t>
      </w:r>
      <w:r w:rsidRPr="000F68F9">
        <w:t xml:space="preserve"> nearest to where </w:t>
      </w:r>
      <w:r>
        <w:t xml:space="preserve">individual vegetation treatments would occur. </w:t>
      </w:r>
      <w:r w:rsidR="008F759F">
        <w:t xml:space="preserve">Mitigation Measure AQ-1 would encourage workers to carpool to work sites, and/or use public transportation for their commutes which could result in the reduction </w:t>
      </w:r>
      <w:r w:rsidR="0096570D">
        <w:t>of</w:t>
      </w:r>
      <w:r w:rsidR="008F759F">
        <w:t xml:space="preserve"> vehicular trips associated with vegetation treatments; and thus, could potentially reduce VMT. However, </w:t>
      </w:r>
      <w:r w:rsidR="006012FB">
        <w:t xml:space="preserve">due to the rural nature of </w:t>
      </w:r>
      <w:r w:rsidR="006012FB" w:rsidRPr="006012FB">
        <w:t>the majority of the treatable landscape</w:t>
      </w:r>
      <w:r w:rsidR="006012FB">
        <w:t xml:space="preserve"> and the required equipment and </w:t>
      </w:r>
      <w:r w:rsidR="00DE6081">
        <w:t xml:space="preserve">number of </w:t>
      </w:r>
      <w:r w:rsidR="006012FB">
        <w:t xml:space="preserve">employees (i.e., the primary trip-generators associated with </w:t>
      </w:r>
      <w:r w:rsidR="006012FB">
        <w:lastRenderedPageBreak/>
        <w:t>vegetation treatments) associated with each vegetation treatment</w:t>
      </w:r>
      <w:r w:rsidR="0046370B">
        <w:t xml:space="preserve"> project</w:t>
      </w:r>
      <w:r w:rsidR="006012FB">
        <w:t xml:space="preserve">, </w:t>
      </w:r>
      <w:r w:rsidR="0046370B">
        <w:t>it would not be feasible to</w:t>
      </w:r>
      <w:r w:rsidR="006012FB">
        <w:t xml:space="preserve"> reduc</w:t>
      </w:r>
      <w:r w:rsidR="0046370B">
        <w:t>e</w:t>
      </w:r>
      <w:r w:rsidR="006012FB">
        <w:t xml:space="preserve"> VMT generated under the CalVTP</w:t>
      </w:r>
      <w:r w:rsidR="0046370B">
        <w:t xml:space="preserve"> beyond </w:t>
      </w:r>
      <w:r w:rsidR="008F759F">
        <w:t>encouraging worker to carpool and/or use public transportation (see Mitigation Measure AQ-1</w:t>
      </w:r>
      <w:r w:rsidR="0095286D">
        <w:t xml:space="preserve"> in Section 3.4, </w:t>
      </w:r>
      <w:r w:rsidR="00FB4417">
        <w:t>“</w:t>
      </w:r>
      <w:r w:rsidR="0095286D">
        <w:t>Air Quality</w:t>
      </w:r>
      <w:r w:rsidR="00FB4417">
        <w:t>”</w:t>
      </w:r>
      <w:r w:rsidR="008F759F">
        <w:t>)</w:t>
      </w:r>
      <w:r w:rsidR="008353BF">
        <w:t>,</w:t>
      </w:r>
      <w:r w:rsidR="008F759F">
        <w:t xml:space="preserve"> and </w:t>
      </w:r>
      <w:r w:rsidR="0046370B">
        <w:t xml:space="preserve">the current practice of employing local crews and equipment as </w:t>
      </w:r>
      <w:r w:rsidR="00861A94">
        <w:t xml:space="preserve">available and </w:t>
      </w:r>
      <w:r w:rsidR="0046370B">
        <w:t>feasible</w:t>
      </w:r>
      <w:r w:rsidR="008353BF">
        <w:t>.</w:t>
      </w:r>
      <w:r w:rsidR="008F759F">
        <w:t xml:space="preserve"> </w:t>
      </w:r>
      <w:r w:rsidR="006012FB">
        <w:t>Therefore, there is no</w:t>
      </w:r>
      <w:r w:rsidR="00755AF3">
        <w:t xml:space="preserve"> </w:t>
      </w:r>
      <w:r w:rsidR="006012FB">
        <w:t>feasible mitigation</w:t>
      </w:r>
      <w:r w:rsidR="00DE6081">
        <w:t xml:space="preserve"> available.</w:t>
      </w:r>
      <w:r w:rsidR="00DE6081" w:rsidRPr="00393CF0">
        <w:t xml:space="preserve"> </w:t>
      </w:r>
    </w:p>
    <w:p w14:paraId="2DE98B1E" w14:textId="139C0348" w:rsidR="00DE1216" w:rsidRDefault="00DE1216" w:rsidP="002F05FF">
      <w:pPr>
        <w:pStyle w:val="Heading6"/>
      </w:pPr>
      <w:r>
        <w:t xml:space="preserve">Significance </w:t>
      </w:r>
      <w:r w:rsidR="002F05FF">
        <w:t xml:space="preserve">after </w:t>
      </w:r>
      <w:r>
        <w:t>Mitigation</w:t>
      </w:r>
    </w:p>
    <w:p w14:paraId="6B0865DD" w14:textId="63368D70" w:rsidR="00393CF0" w:rsidRDefault="00810ADA" w:rsidP="002F05FF">
      <w:pPr>
        <w:pStyle w:val="BodyText"/>
      </w:pPr>
      <w:r>
        <w:t xml:space="preserve">As stated above under </w:t>
      </w:r>
      <w:bookmarkStart w:id="28" w:name="_Hlk8074579"/>
      <w:r w:rsidR="0048555A" w:rsidRPr="000F68F9">
        <w:t>the pre-mitigation significance determination, to meet CEQA</w:t>
      </w:r>
      <w:r w:rsidR="00FB4417">
        <w:t>’</w:t>
      </w:r>
      <w:r w:rsidR="0048555A" w:rsidRPr="000F68F9">
        <w:t>s mandate of good faith disclosure and to not risk understating potential future impacts in light of uncertainties</w:t>
      </w:r>
      <w:r>
        <w:t xml:space="preserve"> related to wildfire</w:t>
      </w:r>
      <w:r w:rsidR="0048555A" w:rsidRPr="000F68F9">
        <w:t xml:space="preserve">, this PEIR classifies this </w:t>
      </w:r>
      <w:r w:rsidR="00755AF3">
        <w:t>VMT</w:t>
      </w:r>
      <w:r w:rsidR="0048555A" w:rsidRPr="000F68F9">
        <w:t xml:space="preserve"> impact as </w:t>
      </w:r>
      <w:r w:rsidR="0048555A" w:rsidRPr="000F68F9">
        <w:rPr>
          <w:b/>
        </w:rPr>
        <w:t>potentially significant and unavoidable</w:t>
      </w:r>
      <w:r w:rsidR="0048555A" w:rsidRPr="000F68F9">
        <w:t xml:space="preserve">, even though the probability of a net VMT reduction </w:t>
      </w:r>
      <w:r w:rsidR="00755AF3">
        <w:t>c</w:t>
      </w:r>
      <w:r w:rsidR="0048555A" w:rsidRPr="000F68F9">
        <w:t>ould be reasonably expected to occur in the long term</w:t>
      </w:r>
      <w:r>
        <w:t xml:space="preserve"> </w:t>
      </w:r>
      <w:r w:rsidR="0018120F">
        <w:t xml:space="preserve">with the intended reduction in wildfire occurrence and severity, </w:t>
      </w:r>
      <w:r>
        <w:t xml:space="preserve">and individual vegetation treatments would likely be less than significant pursuant to </w:t>
      </w:r>
      <w:r w:rsidRPr="005D089C">
        <w:rPr>
          <w:bCs/>
        </w:rPr>
        <w:t xml:space="preserve">the </w:t>
      </w:r>
      <w:r>
        <w:rPr>
          <w:bCs/>
        </w:rPr>
        <w:t>thresholds identified in OPR</w:t>
      </w:r>
      <w:r w:rsidR="00FB4417">
        <w:rPr>
          <w:bCs/>
        </w:rPr>
        <w:t>’</w:t>
      </w:r>
      <w:r>
        <w:rPr>
          <w:bCs/>
        </w:rPr>
        <w:t xml:space="preserve">s </w:t>
      </w:r>
      <w:r w:rsidRPr="005D089C">
        <w:rPr>
          <w:bCs/>
        </w:rPr>
        <w:t>Technical Advisory on Evaluating Transportation Impacts</w:t>
      </w:r>
      <w:r w:rsidR="0048555A" w:rsidRPr="000F68F9">
        <w:t>.</w:t>
      </w:r>
      <w:r w:rsidR="00FB4417">
        <w:t xml:space="preserve"> </w:t>
      </w:r>
      <w:r w:rsidR="0048555A" w:rsidRPr="000F68F9">
        <w:t xml:space="preserve">Even though the </w:t>
      </w:r>
      <w:r w:rsidR="0018120F">
        <w:t>intended</w:t>
      </w:r>
      <w:r w:rsidR="0048555A" w:rsidRPr="000F68F9">
        <w:t xml:space="preserve"> outcome would be less than significant, the </w:t>
      </w:r>
      <w:r w:rsidR="00FB4417">
        <w:t>“</w:t>
      </w:r>
      <w:r w:rsidR="0048555A" w:rsidRPr="000F68F9">
        <w:t>potentially significant and unavoidable</w:t>
      </w:r>
      <w:r w:rsidR="00FB4417">
        <w:t>”</w:t>
      </w:r>
      <w:r w:rsidR="0048555A" w:rsidRPr="000F68F9">
        <w:t xml:space="preserve"> determination is </w:t>
      </w:r>
      <w:r w:rsidR="0018120F">
        <w:t>necessary under CEQA to</w:t>
      </w:r>
      <w:r w:rsidR="0048555A" w:rsidRPr="000F68F9">
        <w:t xml:space="preserve"> </w:t>
      </w:r>
      <w:r w:rsidR="000F68F9" w:rsidRPr="000F68F9">
        <w:t xml:space="preserve">disclose </w:t>
      </w:r>
      <w:r w:rsidR="0018120F">
        <w:t>in good faith the</w:t>
      </w:r>
      <w:r w:rsidR="00755AF3">
        <w:t xml:space="preserve"> </w:t>
      </w:r>
      <w:r w:rsidR="000F68F9" w:rsidRPr="000F68F9">
        <w:t>potential effects</w:t>
      </w:r>
      <w:r w:rsidR="000F68F9">
        <w:t xml:space="preserve"> related to VMT</w:t>
      </w:r>
      <w:r w:rsidR="0018120F">
        <w:t xml:space="preserve"> generated by</w:t>
      </w:r>
      <w:r>
        <w:t xml:space="preserve"> the program as a whole</w:t>
      </w:r>
      <w:r w:rsidR="000F68F9" w:rsidRPr="000F68F9">
        <w:t>.</w:t>
      </w:r>
      <w:r w:rsidR="00FB4417">
        <w:t xml:space="preserve"> </w:t>
      </w:r>
      <w:bookmarkEnd w:id="28"/>
    </w:p>
    <w:p w14:paraId="3EDCE8F0" w14:textId="2EA01189" w:rsidR="002F05FF" w:rsidRDefault="002F05FF">
      <w:pPr>
        <w:spacing w:after="200" w:line="276" w:lineRule="auto"/>
      </w:pPr>
      <w:r>
        <w:br w:type="page"/>
      </w:r>
    </w:p>
    <w:p w14:paraId="4DCD6FF6" w14:textId="77777777" w:rsidR="002F05FF" w:rsidRDefault="002F05FF" w:rsidP="002F05FF">
      <w:pPr>
        <w:pStyle w:val="BodyText"/>
      </w:pPr>
    </w:p>
    <w:p w14:paraId="47449F4C" w14:textId="79F02032" w:rsidR="002F05FF" w:rsidRDefault="002F05FF" w:rsidP="002F05FF">
      <w:pPr>
        <w:pStyle w:val="BodyText"/>
      </w:pPr>
      <w:r>
        <w:t xml:space="preserve">This page intentionally left blank. </w:t>
      </w:r>
    </w:p>
    <w:bookmarkEnd w:id="22"/>
    <w:sectPr w:rsidR="002F05FF"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3B3B" w14:textId="77777777" w:rsidR="0074027F" w:rsidRDefault="0074027F" w:rsidP="00B53904">
      <w:r>
        <w:separator/>
      </w:r>
    </w:p>
  </w:endnote>
  <w:endnote w:type="continuationSeparator" w:id="0">
    <w:p w14:paraId="1C4855B3" w14:textId="77777777" w:rsidR="0074027F" w:rsidRDefault="0074027F"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7E90D062" w:rsidR="0074027F" w:rsidRPr="00AE4D3F" w:rsidRDefault="0074027F"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5936DE">
      <w:rPr>
        <w:rFonts w:cs="Segoe UI Semilight"/>
        <w:noProof/>
      </w:rPr>
      <w:t>3.15-2</w:t>
    </w:r>
    <w:r w:rsidRPr="00AE4D3F">
      <w:rPr>
        <w:rFonts w:cs="Segoe UI Semilight"/>
        <w:noProof/>
      </w:rPr>
      <w:fldChar w:fldCharType="end"/>
    </w:r>
    <w:r>
      <w:rPr>
        <w:rFonts w:cs="Segoe UI Semilight"/>
        <w:noProof/>
      </w:rPr>
      <w:tab/>
    </w:r>
    <w:r w:rsidR="00516807">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78CAE2E2" w:rsidR="0074027F" w:rsidRPr="00AE4D3F" w:rsidRDefault="0074027F" w:rsidP="00E16BE3">
    <w:pPr>
      <w:pStyle w:val="Footer"/>
    </w:pPr>
    <w:r w:rsidRPr="00AE4D3F">
      <w:t>Board of Forestry and Fire Protection</w:t>
    </w:r>
    <w:r w:rsidRPr="00AE4D3F">
      <w:tab/>
    </w:r>
    <w:r>
      <w:br/>
    </w:r>
    <w:r w:rsidR="00516807">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5936DE">
      <w:rPr>
        <w:rFonts w:cs="Segoe UI Semilight"/>
        <w:noProof/>
      </w:rPr>
      <w:t>3.15-1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2C47" w14:textId="77777777" w:rsidR="0074027F" w:rsidRDefault="0074027F" w:rsidP="00B53904">
      <w:r>
        <w:separator/>
      </w:r>
    </w:p>
  </w:footnote>
  <w:footnote w:type="continuationSeparator" w:id="0">
    <w:p w14:paraId="38BFC50C" w14:textId="77777777" w:rsidR="0074027F" w:rsidRDefault="0074027F"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1966F0A0" w:rsidR="0074027F" w:rsidRPr="00D55292" w:rsidRDefault="0074027F" w:rsidP="00D31347">
    <w:pPr>
      <w:pStyle w:val="Header"/>
    </w:pPr>
    <w:r>
      <w:rPr>
        <w:rFonts w:eastAsia="Times New Roman" w:cs="Arial"/>
      </w:rPr>
      <w:t>Transportation</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2758EC1E" w:rsidR="0074027F" w:rsidRPr="00D55292" w:rsidRDefault="0074027F" w:rsidP="00D31347">
    <w:pPr>
      <w:pStyle w:val="Header"/>
    </w:pPr>
    <w:r w:rsidRPr="00D55292">
      <w:t>Ascent Environmental</w:t>
    </w:r>
    <w:r w:rsidRPr="00D55292">
      <w:tab/>
    </w:r>
    <w:r w:rsidRPr="00D55292">
      <w:tab/>
    </w:r>
    <w:r>
      <w:rPr>
        <w:rFonts w:eastAsia="Times New Roman" w:cs="Arial"/>
      </w:rPr>
      <w:t>Transportation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74027F" w:rsidRDefault="0074027F" w:rsidP="00FA47AA">
    <w:pPr>
      <w:pStyle w:val="Header"/>
      <w:pBdr>
        <w:bottom w:val="none" w:sz="0" w:space="0" w:color="auto"/>
      </w:pBdr>
      <w:jc w:val="center"/>
    </w:pPr>
    <w:r w:rsidRPr="00B352A5">
      <w:t>Draft for Internal Review and Deliberation</w:t>
    </w:r>
  </w:p>
  <w:p w14:paraId="0A8F0FFA" w14:textId="77777777" w:rsidR="0074027F" w:rsidRDefault="0074027F"/>
  <w:p w14:paraId="2A53CF5F" w14:textId="77777777" w:rsidR="0074027F" w:rsidRDefault="00740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311671B8"/>
    <w:lvl w:ilvl="0">
      <w:start w:val="3"/>
      <w:numFmt w:val="decimal"/>
      <w:pStyle w:val="Heading1"/>
      <w:lvlText w:val="%1"/>
      <w:lvlJc w:val="center"/>
      <w:pPr>
        <w:ind w:left="0" w:firstLine="0"/>
      </w:pPr>
      <w:rPr>
        <w:rFonts w:hint="default"/>
        <w:specVanish w:val="0"/>
      </w:rPr>
    </w:lvl>
    <w:lvl w:ilvl="1">
      <w:start w:val="15"/>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DB69D0E"/>
    <w:lvl w:ilvl="0" w:tplc="8BD84744">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5"/>
  </w:num>
  <w:num w:numId="6">
    <w:abstractNumId w:val="2"/>
  </w:num>
  <w:num w:numId="7">
    <w:abstractNumId w:val="7"/>
  </w:num>
  <w:num w:numId="8">
    <w:abstractNumId w:val="1"/>
  </w:num>
  <w:num w:numId="9">
    <w:abstractNumId w:val="4"/>
  </w:num>
  <w:num w:numId="10">
    <w:abstractNumId w:val="2"/>
  </w:num>
  <w:num w:numId="11">
    <w:abstractNumId w:val="6"/>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UKRpAKkPc/Kcafq8MkLzcI8lsll7NrrsiaLuj0tRvqjSnrk9IaWyq6IE1RI6NCe4lXYGIJZgEU2HfVCNJcZA0Q==" w:salt="lPR8R6cesMfptsmE1FHH+A=="/>
  <w:defaultTabStop w:val="720"/>
  <w:evenAndOddHeaders/>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045B"/>
    <w:rsid w:val="00001376"/>
    <w:rsid w:val="0000139D"/>
    <w:rsid w:val="00001A56"/>
    <w:rsid w:val="00001BFE"/>
    <w:rsid w:val="000047F6"/>
    <w:rsid w:val="000055CA"/>
    <w:rsid w:val="00006315"/>
    <w:rsid w:val="0000641B"/>
    <w:rsid w:val="00006D45"/>
    <w:rsid w:val="0000770B"/>
    <w:rsid w:val="0001240E"/>
    <w:rsid w:val="00012820"/>
    <w:rsid w:val="00012B89"/>
    <w:rsid w:val="0001328E"/>
    <w:rsid w:val="00013B48"/>
    <w:rsid w:val="00013E6A"/>
    <w:rsid w:val="00014CA7"/>
    <w:rsid w:val="000159C7"/>
    <w:rsid w:val="00016047"/>
    <w:rsid w:val="00016301"/>
    <w:rsid w:val="000169F0"/>
    <w:rsid w:val="00020851"/>
    <w:rsid w:val="00020F5D"/>
    <w:rsid w:val="00021028"/>
    <w:rsid w:val="00021862"/>
    <w:rsid w:val="0002376E"/>
    <w:rsid w:val="00026409"/>
    <w:rsid w:val="000264EA"/>
    <w:rsid w:val="00027B63"/>
    <w:rsid w:val="00027CC4"/>
    <w:rsid w:val="00027DB3"/>
    <w:rsid w:val="00030618"/>
    <w:rsid w:val="00031F2B"/>
    <w:rsid w:val="00034110"/>
    <w:rsid w:val="000347E4"/>
    <w:rsid w:val="000366A3"/>
    <w:rsid w:val="000366DD"/>
    <w:rsid w:val="00036B93"/>
    <w:rsid w:val="000372E8"/>
    <w:rsid w:val="00040CA0"/>
    <w:rsid w:val="0004163D"/>
    <w:rsid w:val="00042295"/>
    <w:rsid w:val="000426A3"/>
    <w:rsid w:val="00043B88"/>
    <w:rsid w:val="00045AA3"/>
    <w:rsid w:val="00045FFE"/>
    <w:rsid w:val="0004600A"/>
    <w:rsid w:val="00046313"/>
    <w:rsid w:val="000468C6"/>
    <w:rsid w:val="00046DFA"/>
    <w:rsid w:val="0004752D"/>
    <w:rsid w:val="00047887"/>
    <w:rsid w:val="00050F7D"/>
    <w:rsid w:val="00051F29"/>
    <w:rsid w:val="00054087"/>
    <w:rsid w:val="00054B80"/>
    <w:rsid w:val="00055058"/>
    <w:rsid w:val="00055DAB"/>
    <w:rsid w:val="00056C35"/>
    <w:rsid w:val="00061E40"/>
    <w:rsid w:val="00062DE3"/>
    <w:rsid w:val="00063AD9"/>
    <w:rsid w:val="0006604D"/>
    <w:rsid w:val="000665B4"/>
    <w:rsid w:val="0006687C"/>
    <w:rsid w:val="00070663"/>
    <w:rsid w:val="00075482"/>
    <w:rsid w:val="000815EB"/>
    <w:rsid w:val="00081B55"/>
    <w:rsid w:val="000826E4"/>
    <w:rsid w:val="00082B43"/>
    <w:rsid w:val="000832E6"/>
    <w:rsid w:val="0008704A"/>
    <w:rsid w:val="0008745E"/>
    <w:rsid w:val="000903E4"/>
    <w:rsid w:val="00090C1A"/>
    <w:rsid w:val="00092547"/>
    <w:rsid w:val="00092F79"/>
    <w:rsid w:val="00092FEC"/>
    <w:rsid w:val="00094865"/>
    <w:rsid w:val="00094C43"/>
    <w:rsid w:val="000956AE"/>
    <w:rsid w:val="000978B8"/>
    <w:rsid w:val="000A0113"/>
    <w:rsid w:val="000A1C94"/>
    <w:rsid w:val="000A1E51"/>
    <w:rsid w:val="000A1E55"/>
    <w:rsid w:val="000A200A"/>
    <w:rsid w:val="000A2ADF"/>
    <w:rsid w:val="000A438F"/>
    <w:rsid w:val="000A4FB2"/>
    <w:rsid w:val="000A5F33"/>
    <w:rsid w:val="000A7014"/>
    <w:rsid w:val="000A7558"/>
    <w:rsid w:val="000A78AB"/>
    <w:rsid w:val="000B0376"/>
    <w:rsid w:val="000B0586"/>
    <w:rsid w:val="000B11E6"/>
    <w:rsid w:val="000B1394"/>
    <w:rsid w:val="000B185D"/>
    <w:rsid w:val="000B7643"/>
    <w:rsid w:val="000B7DDB"/>
    <w:rsid w:val="000B7F33"/>
    <w:rsid w:val="000C0C81"/>
    <w:rsid w:val="000C2269"/>
    <w:rsid w:val="000C2E4F"/>
    <w:rsid w:val="000C3ADA"/>
    <w:rsid w:val="000C60E2"/>
    <w:rsid w:val="000C68C1"/>
    <w:rsid w:val="000C7B46"/>
    <w:rsid w:val="000D0574"/>
    <w:rsid w:val="000D0593"/>
    <w:rsid w:val="000D2C79"/>
    <w:rsid w:val="000D45D2"/>
    <w:rsid w:val="000D792E"/>
    <w:rsid w:val="000E07B4"/>
    <w:rsid w:val="000E3A72"/>
    <w:rsid w:val="000E3AE0"/>
    <w:rsid w:val="000E3BE1"/>
    <w:rsid w:val="000E3C33"/>
    <w:rsid w:val="000E3C96"/>
    <w:rsid w:val="000E418D"/>
    <w:rsid w:val="000E438C"/>
    <w:rsid w:val="000E439C"/>
    <w:rsid w:val="000E4AF9"/>
    <w:rsid w:val="000E57AC"/>
    <w:rsid w:val="000E7284"/>
    <w:rsid w:val="000F0A7F"/>
    <w:rsid w:val="000F0B63"/>
    <w:rsid w:val="000F167B"/>
    <w:rsid w:val="000F2869"/>
    <w:rsid w:val="000F30C8"/>
    <w:rsid w:val="000F31CF"/>
    <w:rsid w:val="000F3462"/>
    <w:rsid w:val="000F39FC"/>
    <w:rsid w:val="000F4113"/>
    <w:rsid w:val="000F5280"/>
    <w:rsid w:val="000F5E63"/>
    <w:rsid w:val="000F61D1"/>
    <w:rsid w:val="000F68F9"/>
    <w:rsid w:val="000F6DF5"/>
    <w:rsid w:val="000F6FD6"/>
    <w:rsid w:val="001005E3"/>
    <w:rsid w:val="001007D3"/>
    <w:rsid w:val="00100CC0"/>
    <w:rsid w:val="00100CDF"/>
    <w:rsid w:val="00101232"/>
    <w:rsid w:val="0010268B"/>
    <w:rsid w:val="001026CD"/>
    <w:rsid w:val="001035C7"/>
    <w:rsid w:val="001040F4"/>
    <w:rsid w:val="0010500E"/>
    <w:rsid w:val="00105061"/>
    <w:rsid w:val="0010550D"/>
    <w:rsid w:val="00105C5E"/>
    <w:rsid w:val="00106092"/>
    <w:rsid w:val="00106643"/>
    <w:rsid w:val="00106E0F"/>
    <w:rsid w:val="001078BF"/>
    <w:rsid w:val="00111F9D"/>
    <w:rsid w:val="0011325F"/>
    <w:rsid w:val="00113A7E"/>
    <w:rsid w:val="0012078C"/>
    <w:rsid w:val="00120C1D"/>
    <w:rsid w:val="00120FBF"/>
    <w:rsid w:val="00121DE7"/>
    <w:rsid w:val="001223BF"/>
    <w:rsid w:val="00123E07"/>
    <w:rsid w:val="0012419A"/>
    <w:rsid w:val="00124DE5"/>
    <w:rsid w:val="00124E19"/>
    <w:rsid w:val="0012554E"/>
    <w:rsid w:val="00126858"/>
    <w:rsid w:val="00126D0B"/>
    <w:rsid w:val="001272B3"/>
    <w:rsid w:val="00134E1E"/>
    <w:rsid w:val="00135902"/>
    <w:rsid w:val="0014044D"/>
    <w:rsid w:val="001406B8"/>
    <w:rsid w:val="00140E73"/>
    <w:rsid w:val="0014279A"/>
    <w:rsid w:val="00142E30"/>
    <w:rsid w:val="001447BF"/>
    <w:rsid w:val="00145602"/>
    <w:rsid w:val="001459E5"/>
    <w:rsid w:val="00145C58"/>
    <w:rsid w:val="00145D7F"/>
    <w:rsid w:val="00147EDF"/>
    <w:rsid w:val="0015003F"/>
    <w:rsid w:val="001504FE"/>
    <w:rsid w:val="001507CE"/>
    <w:rsid w:val="00151F6A"/>
    <w:rsid w:val="00152900"/>
    <w:rsid w:val="001529CA"/>
    <w:rsid w:val="00152F70"/>
    <w:rsid w:val="001546A5"/>
    <w:rsid w:val="0015554F"/>
    <w:rsid w:val="00155D62"/>
    <w:rsid w:val="00155F1D"/>
    <w:rsid w:val="00156DCB"/>
    <w:rsid w:val="001575C3"/>
    <w:rsid w:val="00157D53"/>
    <w:rsid w:val="0016152D"/>
    <w:rsid w:val="00162136"/>
    <w:rsid w:val="00164A51"/>
    <w:rsid w:val="00164C59"/>
    <w:rsid w:val="0016592B"/>
    <w:rsid w:val="0016693B"/>
    <w:rsid w:val="00166D63"/>
    <w:rsid w:val="00170FF3"/>
    <w:rsid w:val="00172275"/>
    <w:rsid w:val="001723B6"/>
    <w:rsid w:val="00172764"/>
    <w:rsid w:val="00175747"/>
    <w:rsid w:val="00175B37"/>
    <w:rsid w:val="001761DB"/>
    <w:rsid w:val="00177429"/>
    <w:rsid w:val="00177A3F"/>
    <w:rsid w:val="0018120F"/>
    <w:rsid w:val="0018473E"/>
    <w:rsid w:val="0018567B"/>
    <w:rsid w:val="0018799D"/>
    <w:rsid w:val="00187E2E"/>
    <w:rsid w:val="00190501"/>
    <w:rsid w:val="00190AE8"/>
    <w:rsid w:val="00190C38"/>
    <w:rsid w:val="00192084"/>
    <w:rsid w:val="00192AD4"/>
    <w:rsid w:val="00194B5A"/>
    <w:rsid w:val="001950FE"/>
    <w:rsid w:val="00195105"/>
    <w:rsid w:val="00195D58"/>
    <w:rsid w:val="00195F02"/>
    <w:rsid w:val="00195F31"/>
    <w:rsid w:val="00196A5F"/>
    <w:rsid w:val="00197AA2"/>
    <w:rsid w:val="001A112C"/>
    <w:rsid w:val="001A17E2"/>
    <w:rsid w:val="001A1A4A"/>
    <w:rsid w:val="001A1BB4"/>
    <w:rsid w:val="001A2E3D"/>
    <w:rsid w:val="001A36DE"/>
    <w:rsid w:val="001A3D26"/>
    <w:rsid w:val="001A4CC5"/>
    <w:rsid w:val="001A62B9"/>
    <w:rsid w:val="001A6EFB"/>
    <w:rsid w:val="001A7F6B"/>
    <w:rsid w:val="001B1248"/>
    <w:rsid w:val="001B1695"/>
    <w:rsid w:val="001B1696"/>
    <w:rsid w:val="001B2E6C"/>
    <w:rsid w:val="001B3F60"/>
    <w:rsid w:val="001B4387"/>
    <w:rsid w:val="001B458E"/>
    <w:rsid w:val="001B4C05"/>
    <w:rsid w:val="001B6869"/>
    <w:rsid w:val="001B742F"/>
    <w:rsid w:val="001C0E10"/>
    <w:rsid w:val="001C143D"/>
    <w:rsid w:val="001C1543"/>
    <w:rsid w:val="001C1671"/>
    <w:rsid w:val="001C1835"/>
    <w:rsid w:val="001C1985"/>
    <w:rsid w:val="001C32C3"/>
    <w:rsid w:val="001C387A"/>
    <w:rsid w:val="001C473E"/>
    <w:rsid w:val="001C6967"/>
    <w:rsid w:val="001D03D9"/>
    <w:rsid w:val="001D0441"/>
    <w:rsid w:val="001D141E"/>
    <w:rsid w:val="001D1A5F"/>
    <w:rsid w:val="001D5178"/>
    <w:rsid w:val="001D594F"/>
    <w:rsid w:val="001D75BA"/>
    <w:rsid w:val="001E07BF"/>
    <w:rsid w:val="001E1685"/>
    <w:rsid w:val="001E20E5"/>
    <w:rsid w:val="001E31F9"/>
    <w:rsid w:val="001E3818"/>
    <w:rsid w:val="001E38C8"/>
    <w:rsid w:val="001E48D0"/>
    <w:rsid w:val="001E7098"/>
    <w:rsid w:val="001E74C3"/>
    <w:rsid w:val="001F04BA"/>
    <w:rsid w:val="001F0D4A"/>
    <w:rsid w:val="001F1CB3"/>
    <w:rsid w:val="001F29B0"/>
    <w:rsid w:val="001F31AC"/>
    <w:rsid w:val="001F34D3"/>
    <w:rsid w:val="001F4004"/>
    <w:rsid w:val="001F436B"/>
    <w:rsid w:val="001F53BA"/>
    <w:rsid w:val="001F6717"/>
    <w:rsid w:val="001F6996"/>
    <w:rsid w:val="001F6C83"/>
    <w:rsid w:val="00201754"/>
    <w:rsid w:val="00201994"/>
    <w:rsid w:val="0020249B"/>
    <w:rsid w:val="00202930"/>
    <w:rsid w:val="00202EAB"/>
    <w:rsid w:val="00207F24"/>
    <w:rsid w:val="00210F20"/>
    <w:rsid w:val="00211B36"/>
    <w:rsid w:val="00214B5B"/>
    <w:rsid w:val="00215ADE"/>
    <w:rsid w:val="00217355"/>
    <w:rsid w:val="002201E6"/>
    <w:rsid w:val="002210BC"/>
    <w:rsid w:val="00222315"/>
    <w:rsid w:val="00222415"/>
    <w:rsid w:val="002228D2"/>
    <w:rsid w:val="00223CCC"/>
    <w:rsid w:val="00223D24"/>
    <w:rsid w:val="002252EC"/>
    <w:rsid w:val="00230164"/>
    <w:rsid w:val="0023030C"/>
    <w:rsid w:val="002309CF"/>
    <w:rsid w:val="002323FF"/>
    <w:rsid w:val="00234303"/>
    <w:rsid w:val="002345DE"/>
    <w:rsid w:val="0023495A"/>
    <w:rsid w:val="0023587E"/>
    <w:rsid w:val="00236901"/>
    <w:rsid w:val="0023726F"/>
    <w:rsid w:val="00237698"/>
    <w:rsid w:val="00243FDF"/>
    <w:rsid w:val="00244A45"/>
    <w:rsid w:val="00244E18"/>
    <w:rsid w:val="00244ED8"/>
    <w:rsid w:val="0024541E"/>
    <w:rsid w:val="00245E5C"/>
    <w:rsid w:val="0024778A"/>
    <w:rsid w:val="00250249"/>
    <w:rsid w:val="00252980"/>
    <w:rsid w:val="002532DD"/>
    <w:rsid w:val="00253784"/>
    <w:rsid w:val="00254181"/>
    <w:rsid w:val="002546D9"/>
    <w:rsid w:val="002553ED"/>
    <w:rsid w:val="002555DD"/>
    <w:rsid w:val="002563E2"/>
    <w:rsid w:val="00256696"/>
    <w:rsid w:val="00256779"/>
    <w:rsid w:val="0025796A"/>
    <w:rsid w:val="0026029A"/>
    <w:rsid w:val="00261D6E"/>
    <w:rsid w:val="00263AE5"/>
    <w:rsid w:val="00263D6D"/>
    <w:rsid w:val="00265D63"/>
    <w:rsid w:val="0026649D"/>
    <w:rsid w:val="00266B90"/>
    <w:rsid w:val="002679F5"/>
    <w:rsid w:val="0027130A"/>
    <w:rsid w:val="00273736"/>
    <w:rsid w:val="00273796"/>
    <w:rsid w:val="002739C9"/>
    <w:rsid w:val="002748F0"/>
    <w:rsid w:val="0027519D"/>
    <w:rsid w:val="00276173"/>
    <w:rsid w:val="002768D9"/>
    <w:rsid w:val="00276D16"/>
    <w:rsid w:val="0027727A"/>
    <w:rsid w:val="002778BA"/>
    <w:rsid w:val="002779B2"/>
    <w:rsid w:val="00277AD7"/>
    <w:rsid w:val="002800C9"/>
    <w:rsid w:val="002817E1"/>
    <w:rsid w:val="00281DFF"/>
    <w:rsid w:val="0028262C"/>
    <w:rsid w:val="00282FDD"/>
    <w:rsid w:val="00283608"/>
    <w:rsid w:val="00283AFB"/>
    <w:rsid w:val="00285B3C"/>
    <w:rsid w:val="00286E2F"/>
    <w:rsid w:val="002926CA"/>
    <w:rsid w:val="00292E24"/>
    <w:rsid w:val="00294F66"/>
    <w:rsid w:val="00295355"/>
    <w:rsid w:val="00295848"/>
    <w:rsid w:val="00295BE2"/>
    <w:rsid w:val="00297DD2"/>
    <w:rsid w:val="002A057C"/>
    <w:rsid w:val="002A0D61"/>
    <w:rsid w:val="002A3E30"/>
    <w:rsid w:val="002A48A4"/>
    <w:rsid w:val="002A554B"/>
    <w:rsid w:val="002A7BF0"/>
    <w:rsid w:val="002B16E8"/>
    <w:rsid w:val="002B1909"/>
    <w:rsid w:val="002B347F"/>
    <w:rsid w:val="002B379E"/>
    <w:rsid w:val="002B4254"/>
    <w:rsid w:val="002B4526"/>
    <w:rsid w:val="002B5482"/>
    <w:rsid w:val="002B570C"/>
    <w:rsid w:val="002B5F30"/>
    <w:rsid w:val="002B6A6C"/>
    <w:rsid w:val="002B6AE3"/>
    <w:rsid w:val="002B7CBC"/>
    <w:rsid w:val="002C13B2"/>
    <w:rsid w:val="002C1406"/>
    <w:rsid w:val="002C331B"/>
    <w:rsid w:val="002C3CB7"/>
    <w:rsid w:val="002C45C1"/>
    <w:rsid w:val="002C465B"/>
    <w:rsid w:val="002C52BA"/>
    <w:rsid w:val="002C7099"/>
    <w:rsid w:val="002C7F04"/>
    <w:rsid w:val="002D09C9"/>
    <w:rsid w:val="002D0B10"/>
    <w:rsid w:val="002D0C83"/>
    <w:rsid w:val="002D12B9"/>
    <w:rsid w:val="002D335D"/>
    <w:rsid w:val="002D4DB0"/>
    <w:rsid w:val="002D51B8"/>
    <w:rsid w:val="002D526E"/>
    <w:rsid w:val="002D64E3"/>
    <w:rsid w:val="002D6978"/>
    <w:rsid w:val="002D6CF9"/>
    <w:rsid w:val="002D6FF0"/>
    <w:rsid w:val="002D7269"/>
    <w:rsid w:val="002D7A81"/>
    <w:rsid w:val="002E04BA"/>
    <w:rsid w:val="002E16F5"/>
    <w:rsid w:val="002E4741"/>
    <w:rsid w:val="002E4E02"/>
    <w:rsid w:val="002E68A9"/>
    <w:rsid w:val="002E68D1"/>
    <w:rsid w:val="002E6E1D"/>
    <w:rsid w:val="002E7B3F"/>
    <w:rsid w:val="002F00DB"/>
    <w:rsid w:val="002F05FF"/>
    <w:rsid w:val="002F0A5B"/>
    <w:rsid w:val="002F0CB7"/>
    <w:rsid w:val="002F4A6B"/>
    <w:rsid w:val="002F528A"/>
    <w:rsid w:val="002F5734"/>
    <w:rsid w:val="002F7942"/>
    <w:rsid w:val="00300FAA"/>
    <w:rsid w:val="003046FA"/>
    <w:rsid w:val="00305244"/>
    <w:rsid w:val="0030635C"/>
    <w:rsid w:val="00306C97"/>
    <w:rsid w:val="00307692"/>
    <w:rsid w:val="00311707"/>
    <w:rsid w:val="00311890"/>
    <w:rsid w:val="00312714"/>
    <w:rsid w:val="00312EDD"/>
    <w:rsid w:val="00314F2C"/>
    <w:rsid w:val="00314FDB"/>
    <w:rsid w:val="00315FFA"/>
    <w:rsid w:val="0031654C"/>
    <w:rsid w:val="00316AA8"/>
    <w:rsid w:val="00316D48"/>
    <w:rsid w:val="00316D89"/>
    <w:rsid w:val="00317399"/>
    <w:rsid w:val="00317541"/>
    <w:rsid w:val="00322598"/>
    <w:rsid w:val="00323A21"/>
    <w:rsid w:val="0032422D"/>
    <w:rsid w:val="00326C69"/>
    <w:rsid w:val="00326C83"/>
    <w:rsid w:val="00334D40"/>
    <w:rsid w:val="003370D4"/>
    <w:rsid w:val="0033710D"/>
    <w:rsid w:val="00340EDC"/>
    <w:rsid w:val="00342804"/>
    <w:rsid w:val="00342C0D"/>
    <w:rsid w:val="00342CE7"/>
    <w:rsid w:val="003440E9"/>
    <w:rsid w:val="0034459E"/>
    <w:rsid w:val="00344C6D"/>
    <w:rsid w:val="003452E6"/>
    <w:rsid w:val="00347C87"/>
    <w:rsid w:val="00347CA9"/>
    <w:rsid w:val="0035022C"/>
    <w:rsid w:val="0035088D"/>
    <w:rsid w:val="00350DB1"/>
    <w:rsid w:val="00351B94"/>
    <w:rsid w:val="00351DFB"/>
    <w:rsid w:val="0035223D"/>
    <w:rsid w:val="003539D3"/>
    <w:rsid w:val="003541B3"/>
    <w:rsid w:val="00354B00"/>
    <w:rsid w:val="0035700A"/>
    <w:rsid w:val="00360A26"/>
    <w:rsid w:val="00360A7F"/>
    <w:rsid w:val="00361334"/>
    <w:rsid w:val="00361846"/>
    <w:rsid w:val="00362483"/>
    <w:rsid w:val="003628D7"/>
    <w:rsid w:val="00362C68"/>
    <w:rsid w:val="0036336E"/>
    <w:rsid w:val="0036470A"/>
    <w:rsid w:val="00371E9B"/>
    <w:rsid w:val="00372D99"/>
    <w:rsid w:val="00374A8E"/>
    <w:rsid w:val="00374B22"/>
    <w:rsid w:val="00375622"/>
    <w:rsid w:val="00375722"/>
    <w:rsid w:val="00376F71"/>
    <w:rsid w:val="00377B59"/>
    <w:rsid w:val="00380732"/>
    <w:rsid w:val="00381D6D"/>
    <w:rsid w:val="00382277"/>
    <w:rsid w:val="00383471"/>
    <w:rsid w:val="003837AB"/>
    <w:rsid w:val="00384D17"/>
    <w:rsid w:val="00384F26"/>
    <w:rsid w:val="0038548F"/>
    <w:rsid w:val="00385CB4"/>
    <w:rsid w:val="00385D63"/>
    <w:rsid w:val="003865EF"/>
    <w:rsid w:val="00387651"/>
    <w:rsid w:val="00387965"/>
    <w:rsid w:val="00387CCF"/>
    <w:rsid w:val="0039048E"/>
    <w:rsid w:val="00391BAF"/>
    <w:rsid w:val="00391E89"/>
    <w:rsid w:val="003924C0"/>
    <w:rsid w:val="00393659"/>
    <w:rsid w:val="003936ED"/>
    <w:rsid w:val="00393CF0"/>
    <w:rsid w:val="0039507F"/>
    <w:rsid w:val="00395AEA"/>
    <w:rsid w:val="00395DD7"/>
    <w:rsid w:val="00397330"/>
    <w:rsid w:val="003976EA"/>
    <w:rsid w:val="00397EE4"/>
    <w:rsid w:val="003A0038"/>
    <w:rsid w:val="003A10DF"/>
    <w:rsid w:val="003A16F5"/>
    <w:rsid w:val="003A1F01"/>
    <w:rsid w:val="003A2AC4"/>
    <w:rsid w:val="003A4256"/>
    <w:rsid w:val="003A54AE"/>
    <w:rsid w:val="003B0687"/>
    <w:rsid w:val="003B0E83"/>
    <w:rsid w:val="003B1AC6"/>
    <w:rsid w:val="003B1C81"/>
    <w:rsid w:val="003B21BD"/>
    <w:rsid w:val="003B268B"/>
    <w:rsid w:val="003B2EB6"/>
    <w:rsid w:val="003B3DCB"/>
    <w:rsid w:val="003B498B"/>
    <w:rsid w:val="003B50DE"/>
    <w:rsid w:val="003B659A"/>
    <w:rsid w:val="003B6ECA"/>
    <w:rsid w:val="003B76D0"/>
    <w:rsid w:val="003B798C"/>
    <w:rsid w:val="003C29A0"/>
    <w:rsid w:val="003C2A02"/>
    <w:rsid w:val="003C2CC6"/>
    <w:rsid w:val="003C4A92"/>
    <w:rsid w:val="003C4D91"/>
    <w:rsid w:val="003C5218"/>
    <w:rsid w:val="003C5D43"/>
    <w:rsid w:val="003C7217"/>
    <w:rsid w:val="003D3996"/>
    <w:rsid w:val="003D5403"/>
    <w:rsid w:val="003D5B3C"/>
    <w:rsid w:val="003D6B33"/>
    <w:rsid w:val="003D7C71"/>
    <w:rsid w:val="003E0223"/>
    <w:rsid w:val="003E0CA1"/>
    <w:rsid w:val="003E10E8"/>
    <w:rsid w:val="003E2B7F"/>
    <w:rsid w:val="003E379C"/>
    <w:rsid w:val="003E3AE1"/>
    <w:rsid w:val="003E3CCF"/>
    <w:rsid w:val="003E3DD5"/>
    <w:rsid w:val="003E50C2"/>
    <w:rsid w:val="003E5FAB"/>
    <w:rsid w:val="003E69E6"/>
    <w:rsid w:val="003E6BE7"/>
    <w:rsid w:val="003E7208"/>
    <w:rsid w:val="003E7A77"/>
    <w:rsid w:val="003F088B"/>
    <w:rsid w:val="003F0DC2"/>
    <w:rsid w:val="003F37AC"/>
    <w:rsid w:val="003F3AC6"/>
    <w:rsid w:val="003F4CBE"/>
    <w:rsid w:val="003F5A9F"/>
    <w:rsid w:val="003F5C28"/>
    <w:rsid w:val="003F6373"/>
    <w:rsid w:val="00400F63"/>
    <w:rsid w:val="0040167D"/>
    <w:rsid w:val="00401DC0"/>
    <w:rsid w:val="0040217A"/>
    <w:rsid w:val="0040265A"/>
    <w:rsid w:val="00403698"/>
    <w:rsid w:val="004045EA"/>
    <w:rsid w:val="00404894"/>
    <w:rsid w:val="004068F0"/>
    <w:rsid w:val="0041117C"/>
    <w:rsid w:val="0041200D"/>
    <w:rsid w:val="0041248E"/>
    <w:rsid w:val="00414DF7"/>
    <w:rsid w:val="00416D5D"/>
    <w:rsid w:val="004176F9"/>
    <w:rsid w:val="00420D53"/>
    <w:rsid w:val="00421D2D"/>
    <w:rsid w:val="00422460"/>
    <w:rsid w:val="004224FB"/>
    <w:rsid w:val="00423463"/>
    <w:rsid w:val="00424D77"/>
    <w:rsid w:val="00425518"/>
    <w:rsid w:val="00425A00"/>
    <w:rsid w:val="00425D0C"/>
    <w:rsid w:val="00425E13"/>
    <w:rsid w:val="00426E47"/>
    <w:rsid w:val="0042778F"/>
    <w:rsid w:val="004310A8"/>
    <w:rsid w:val="0043135E"/>
    <w:rsid w:val="00432D2C"/>
    <w:rsid w:val="004332A4"/>
    <w:rsid w:val="00433C78"/>
    <w:rsid w:val="00434C84"/>
    <w:rsid w:val="00434F07"/>
    <w:rsid w:val="00435A90"/>
    <w:rsid w:val="00435BC0"/>
    <w:rsid w:val="00436C8F"/>
    <w:rsid w:val="00436D76"/>
    <w:rsid w:val="004372A1"/>
    <w:rsid w:val="00437DA4"/>
    <w:rsid w:val="004401E7"/>
    <w:rsid w:val="004408D3"/>
    <w:rsid w:val="00440A3C"/>
    <w:rsid w:val="00443B32"/>
    <w:rsid w:val="00443E17"/>
    <w:rsid w:val="004448F0"/>
    <w:rsid w:val="00445C58"/>
    <w:rsid w:val="00446C8D"/>
    <w:rsid w:val="00450ED6"/>
    <w:rsid w:val="004515CC"/>
    <w:rsid w:val="00451738"/>
    <w:rsid w:val="00451744"/>
    <w:rsid w:val="00451D71"/>
    <w:rsid w:val="004525DD"/>
    <w:rsid w:val="00452E5C"/>
    <w:rsid w:val="00453AF1"/>
    <w:rsid w:val="00453CE6"/>
    <w:rsid w:val="00455F9D"/>
    <w:rsid w:val="0046024A"/>
    <w:rsid w:val="004624B4"/>
    <w:rsid w:val="0046370B"/>
    <w:rsid w:val="004643F0"/>
    <w:rsid w:val="00464E41"/>
    <w:rsid w:val="0047088B"/>
    <w:rsid w:val="0047099C"/>
    <w:rsid w:val="00471FFC"/>
    <w:rsid w:val="0047222F"/>
    <w:rsid w:val="00474B8C"/>
    <w:rsid w:val="00474D0E"/>
    <w:rsid w:val="004753A9"/>
    <w:rsid w:val="00475791"/>
    <w:rsid w:val="00475BF5"/>
    <w:rsid w:val="00477814"/>
    <w:rsid w:val="00480017"/>
    <w:rsid w:val="0048005D"/>
    <w:rsid w:val="00484137"/>
    <w:rsid w:val="0048528C"/>
    <w:rsid w:val="0048555A"/>
    <w:rsid w:val="004870D6"/>
    <w:rsid w:val="004902D9"/>
    <w:rsid w:val="00491404"/>
    <w:rsid w:val="00491732"/>
    <w:rsid w:val="004926C5"/>
    <w:rsid w:val="004958A2"/>
    <w:rsid w:val="00496382"/>
    <w:rsid w:val="004966FC"/>
    <w:rsid w:val="00496ED1"/>
    <w:rsid w:val="004A081C"/>
    <w:rsid w:val="004A13A5"/>
    <w:rsid w:val="004A1E4C"/>
    <w:rsid w:val="004A215C"/>
    <w:rsid w:val="004A348C"/>
    <w:rsid w:val="004A43FE"/>
    <w:rsid w:val="004A53D5"/>
    <w:rsid w:val="004A547A"/>
    <w:rsid w:val="004A598D"/>
    <w:rsid w:val="004A5B92"/>
    <w:rsid w:val="004A6754"/>
    <w:rsid w:val="004B07E5"/>
    <w:rsid w:val="004B1D44"/>
    <w:rsid w:val="004B2806"/>
    <w:rsid w:val="004B4015"/>
    <w:rsid w:val="004B63E6"/>
    <w:rsid w:val="004B6425"/>
    <w:rsid w:val="004B741B"/>
    <w:rsid w:val="004B7612"/>
    <w:rsid w:val="004C0A14"/>
    <w:rsid w:val="004C197F"/>
    <w:rsid w:val="004C1ECD"/>
    <w:rsid w:val="004C2262"/>
    <w:rsid w:val="004C3B24"/>
    <w:rsid w:val="004C4031"/>
    <w:rsid w:val="004C40E1"/>
    <w:rsid w:val="004C6049"/>
    <w:rsid w:val="004C6EC2"/>
    <w:rsid w:val="004C76EF"/>
    <w:rsid w:val="004D144A"/>
    <w:rsid w:val="004D2389"/>
    <w:rsid w:val="004D2447"/>
    <w:rsid w:val="004D24FD"/>
    <w:rsid w:val="004D27DB"/>
    <w:rsid w:val="004D3452"/>
    <w:rsid w:val="004D5B15"/>
    <w:rsid w:val="004D5D00"/>
    <w:rsid w:val="004D6FC6"/>
    <w:rsid w:val="004D7187"/>
    <w:rsid w:val="004D7200"/>
    <w:rsid w:val="004D79A1"/>
    <w:rsid w:val="004D7B29"/>
    <w:rsid w:val="004E0866"/>
    <w:rsid w:val="004E4D68"/>
    <w:rsid w:val="004E5DE9"/>
    <w:rsid w:val="004E7592"/>
    <w:rsid w:val="004E75F6"/>
    <w:rsid w:val="004E78F9"/>
    <w:rsid w:val="004E79A2"/>
    <w:rsid w:val="004F00D6"/>
    <w:rsid w:val="004F1920"/>
    <w:rsid w:val="004F50B2"/>
    <w:rsid w:val="004F5546"/>
    <w:rsid w:val="004F5872"/>
    <w:rsid w:val="004F5C3C"/>
    <w:rsid w:val="004F6BE1"/>
    <w:rsid w:val="004F799C"/>
    <w:rsid w:val="004F7BC9"/>
    <w:rsid w:val="005001B2"/>
    <w:rsid w:val="00500465"/>
    <w:rsid w:val="0050076B"/>
    <w:rsid w:val="0050107B"/>
    <w:rsid w:val="005013B1"/>
    <w:rsid w:val="00501F97"/>
    <w:rsid w:val="005020E7"/>
    <w:rsid w:val="005027A7"/>
    <w:rsid w:val="00502C3D"/>
    <w:rsid w:val="00503506"/>
    <w:rsid w:val="005036B2"/>
    <w:rsid w:val="0050375C"/>
    <w:rsid w:val="00504A91"/>
    <w:rsid w:val="00506DB3"/>
    <w:rsid w:val="00507278"/>
    <w:rsid w:val="00507B30"/>
    <w:rsid w:val="00507E78"/>
    <w:rsid w:val="00511217"/>
    <w:rsid w:val="0051257F"/>
    <w:rsid w:val="005131D1"/>
    <w:rsid w:val="00513D9B"/>
    <w:rsid w:val="0051402D"/>
    <w:rsid w:val="005149F7"/>
    <w:rsid w:val="00514AC4"/>
    <w:rsid w:val="00514E6E"/>
    <w:rsid w:val="00515461"/>
    <w:rsid w:val="0051602C"/>
    <w:rsid w:val="00516262"/>
    <w:rsid w:val="00516807"/>
    <w:rsid w:val="00516C0C"/>
    <w:rsid w:val="00516CB7"/>
    <w:rsid w:val="00517068"/>
    <w:rsid w:val="00521758"/>
    <w:rsid w:val="00521A53"/>
    <w:rsid w:val="00522B98"/>
    <w:rsid w:val="00523033"/>
    <w:rsid w:val="005236B1"/>
    <w:rsid w:val="00523CAF"/>
    <w:rsid w:val="00523D48"/>
    <w:rsid w:val="00525318"/>
    <w:rsid w:val="00525419"/>
    <w:rsid w:val="0052577E"/>
    <w:rsid w:val="005257A0"/>
    <w:rsid w:val="00525F39"/>
    <w:rsid w:val="00526741"/>
    <w:rsid w:val="00526E67"/>
    <w:rsid w:val="005274AC"/>
    <w:rsid w:val="00527C5E"/>
    <w:rsid w:val="00530492"/>
    <w:rsid w:val="00530865"/>
    <w:rsid w:val="00530CBA"/>
    <w:rsid w:val="0053135A"/>
    <w:rsid w:val="00531FF7"/>
    <w:rsid w:val="00532F3B"/>
    <w:rsid w:val="00533A70"/>
    <w:rsid w:val="00535C10"/>
    <w:rsid w:val="005363FD"/>
    <w:rsid w:val="005412BF"/>
    <w:rsid w:val="005423D7"/>
    <w:rsid w:val="0054240D"/>
    <w:rsid w:val="005427AA"/>
    <w:rsid w:val="00542ABB"/>
    <w:rsid w:val="005440E5"/>
    <w:rsid w:val="00544B19"/>
    <w:rsid w:val="00544FC3"/>
    <w:rsid w:val="005454CF"/>
    <w:rsid w:val="00545A8D"/>
    <w:rsid w:val="00545D14"/>
    <w:rsid w:val="00545DE3"/>
    <w:rsid w:val="0054644D"/>
    <w:rsid w:val="005471D7"/>
    <w:rsid w:val="00547C9E"/>
    <w:rsid w:val="005531B7"/>
    <w:rsid w:val="0055361B"/>
    <w:rsid w:val="00553B31"/>
    <w:rsid w:val="005542EE"/>
    <w:rsid w:val="0055449F"/>
    <w:rsid w:val="00554BD6"/>
    <w:rsid w:val="00554FEB"/>
    <w:rsid w:val="00556212"/>
    <w:rsid w:val="00557913"/>
    <w:rsid w:val="00557994"/>
    <w:rsid w:val="0056094F"/>
    <w:rsid w:val="005618D1"/>
    <w:rsid w:val="00563B67"/>
    <w:rsid w:val="005646C4"/>
    <w:rsid w:val="00564866"/>
    <w:rsid w:val="00565212"/>
    <w:rsid w:val="0056592D"/>
    <w:rsid w:val="00565F76"/>
    <w:rsid w:val="00566343"/>
    <w:rsid w:val="005669DE"/>
    <w:rsid w:val="00570507"/>
    <w:rsid w:val="00570F93"/>
    <w:rsid w:val="00570FE9"/>
    <w:rsid w:val="005717CD"/>
    <w:rsid w:val="005719A7"/>
    <w:rsid w:val="00577A3F"/>
    <w:rsid w:val="0058017D"/>
    <w:rsid w:val="00581DAC"/>
    <w:rsid w:val="00582B59"/>
    <w:rsid w:val="0058308C"/>
    <w:rsid w:val="00584867"/>
    <w:rsid w:val="005856F6"/>
    <w:rsid w:val="0058638B"/>
    <w:rsid w:val="005909CD"/>
    <w:rsid w:val="00591058"/>
    <w:rsid w:val="005913CA"/>
    <w:rsid w:val="00592804"/>
    <w:rsid w:val="00592D5A"/>
    <w:rsid w:val="0059350E"/>
    <w:rsid w:val="005936DE"/>
    <w:rsid w:val="00593D58"/>
    <w:rsid w:val="0059603D"/>
    <w:rsid w:val="00597C02"/>
    <w:rsid w:val="005A1022"/>
    <w:rsid w:val="005A1EAC"/>
    <w:rsid w:val="005A1F3E"/>
    <w:rsid w:val="005A36D2"/>
    <w:rsid w:val="005A4155"/>
    <w:rsid w:val="005A41F6"/>
    <w:rsid w:val="005A5244"/>
    <w:rsid w:val="005A5B97"/>
    <w:rsid w:val="005A7131"/>
    <w:rsid w:val="005A7392"/>
    <w:rsid w:val="005B00A9"/>
    <w:rsid w:val="005B01B6"/>
    <w:rsid w:val="005B13CE"/>
    <w:rsid w:val="005B28CE"/>
    <w:rsid w:val="005B28E5"/>
    <w:rsid w:val="005B31FA"/>
    <w:rsid w:val="005B3F1D"/>
    <w:rsid w:val="005B5AD8"/>
    <w:rsid w:val="005B68EE"/>
    <w:rsid w:val="005B6D69"/>
    <w:rsid w:val="005B7446"/>
    <w:rsid w:val="005B7E8E"/>
    <w:rsid w:val="005C00FB"/>
    <w:rsid w:val="005C0879"/>
    <w:rsid w:val="005C09BC"/>
    <w:rsid w:val="005C13E0"/>
    <w:rsid w:val="005C2FA9"/>
    <w:rsid w:val="005C3F59"/>
    <w:rsid w:val="005C4392"/>
    <w:rsid w:val="005C60CC"/>
    <w:rsid w:val="005C694E"/>
    <w:rsid w:val="005C7449"/>
    <w:rsid w:val="005C7C17"/>
    <w:rsid w:val="005D057C"/>
    <w:rsid w:val="005D089C"/>
    <w:rsid w:val="005D1321"/>
    <w:rsid w:val="005D18BE"/>
    <w:rsid w:val="005D198F"/>
    <w:rsid w:val="005D32DE"/>
    <w:rsid w:val="005D46FE"/>
    <w:rsid w:val="005E00C0"/>
    <w:rsid w:val="005E0C0B"/>
    <w:rsid w:val="005E1DF2"/>
    <w:rsid w:val="005E2047"/>
    <w:rsid w:val="005E20D3"/>
    <w:rsid w:val="005E2AC0"/>
    <w:rsid w:val="005E38A1"/>
    <w:rsid w:val="005E4262"/>
    <w:rsid w:val="005E4ACC"/>
    <w:rsid w:val="005E6B1E"/>
    <w:rsid w:val="005E78AC"/>
    <w:rsid w:val="005F0AE6"/>
    <w:rsid w:val="005F0BF8"/>
    <w:rsid w:val="005F2036"/>
    <w:rsid w:val="005F3D32"/>
    <w:rsid w:val="005F527C"/>
    <w:rsid w:val="005F5407"/>
    <w:rsid w:val="005F571F"/>
    <w:rsid w:val="005F5DAF"/>
    <w:rsid w:val="005F676C"/>
    <w:rsid w:val="005F6795"/>
    <w:rsid w:val="006001BD"/>
    <w:rsid w:val="00600507"/>
    <w:rsid w:val="006012FB"/>
    <w:rsid w:val="00603DE4"/>
    <w:rsid w:val="00604DA7"/>
    <w:rsid w:val="006069DE"/>
    <w:rsid w:val="0060770E"/>
    <w:rsid w:val="00607E8F"/>
    <w:rsid w:val="0061151A"/>
    <w:rsid w:val="00612380"/>
    <w:rsid w:val="006123A9"/>
    <w:rsid w:val="00614D02"/>
    <w:rsid w:val="00615D63"/>
    <w:rsid w:val="00615FAD"/>
    <w:rsid w:val="00616427"/>
    <w:rsid w:val="00617396"/>
    <w:rsid w:val="0061786C"/>
    <w:rsid w:val="006208DA"/>
    <w:rsid w:val="0062165B"/>
    <w:rsid w:val="006226EE"/>
    <w:rsid w:val="00623586"/>
    <w:rsid w:val="006236E2"/>
    <w:rsid w:val="00625140"/>
    <w:rsid w:val="006262A1"/>
    <w:rsid w:val="00626FB7"/>
    <w:rsid w:val="00631448"/>
    <w:rsid w:val="0063255E"/>
    <w:rsid w:val="00633BDE"/>
    <w:rsid w:val="00635041"/>
    <w:rsid w:val="006354BD"/>
    <w:rsid w:val="00635878"/>
    <w:rsid w:val="00635B48"/>
    <w:rsid w:val="00635D19"/>
    <w:rsid w:val="00637172"/>
    <w:rsid w:val="00640D7A"/>
    <w:rsid w:val="00640F60"/>
    <w:rsid w:val="006420A5"/>
    <w:rsid w:val="00643E39"/>
    <w:rsid w:val="0064423C"/>
    <w:rsid w:val="00646C14"/>
    <w:rsid w:val="00647466"/>
    <w:rsid w:val="00647821"/>
    <w:rsid w:val="006514AB"/>
    <w:rsid w:val="006521B7"/>
    <w:rsid w:val="00652642"/>
    <w:rsid w:val="006527A0"/>
    <w:rsid w:val="00654B27"/>
    <w:rsid w:val="00655C00"/>
    <w:rsid w:val="0065661C"/>
    <w:rsid w:val="00661718"/>
    <w:rsid w:val="00663166"/>
    <w:rsid w:val="00664F5F"/>
    <w:rsid w:val="00666091"/>
    <w:rsid w:val="00666B29"/>
    <w:rsid w:val="006679F3"/>
    <w:rsid w:val="00670B83"/>
    <w:rsid w:val="00670DEA"/>
    <w:rsid w:val="00673D33"/>
    <w:rsid w:val="00674212"/>
    <w:rsid w:val="0067427F"/>
    <w:rsid w:val="0067622C"/>
    <w:rsid w:val="006765A4"/>
    <w:rsid w:val="00677091"/>
    <w:rsid w:val="006775F5"/>
    <w:rsid w:val="00677621"/>
    <w:rsid w:val="006813C4"/>
    <w:rsid w:val="00682695"/>
    <w:rsid w:val="0068356A"/>
    <w:rsid w:val="00683728"/>
    <w:rsid w:val="00683F0C"/>
    <w:rsid w:val="006844F1"/>
    <w:rsid w:val="00684C0D"/>
    <w:rsid w:val="006851C0"/>
    <w:rsid w:val="006869EB"/>
    <w:rsid w:val="00686DDB"/>
    <w:rsid w:val="0069127B"/>
    <w:rsid w:val="006919C7"/>
    <w:rsid w:val="00695C22"/>
    <w:rsid w:val="006A1DC0"/>
    <w:rsid w:val="006A1EEF"/>
    <w:rsid w:val="006A20DD"/>
    <w:rsid w:val="006A2150"/>
    <w:rsid w:val="006A32FB"/>
    <w:rsid w:val="006A5283"/>
    <w:rsid w:val="006A570E"/>
    <w:rsid w:val="006A5A3D"/>
    <w:rsid w:val="006A6F0F"/>
    <w:rsid w:val="006A7CB1"/>
    <w:rsid w:val="006B0788"/>
    <w:rsid w:val="006B08B3"/>
    <w:rsid w:val="006B1076"/>
    <w:rsid w:val="006B14F3"/>
    <w:rsid w:val="006B1944"/>
    <w:rsid w:val="006B1D1B"/>
    <w:rsid w:val="006B1F55"/>
    <w:rsid w:val="006B24CF"/>
    <w:rsid w:val="006B253F"/>
    <w:rsid w:val="006B275D"/>
    <w:rsid w:val="006B2D43"/>
    <w:rsid w:val="006B3396"/>
    <w:rsid w:val="006B3CAE"/>
    <w:rsid w:val="006B4401"/>
    <w:rsid w:val="006B4646"/>
    <w:rsid w:val="006C01DC"/>
    <w:rsid w:val="006C0485"/>
    <w:rsid w:val="006C09E9"/>
    <w:rsid w:val="006C5687"/>
    <w:rsid w:val="006C5A4D"/>
    <w:rsid w:val="006C6AC8"/>
    <w:rsid w:val="006D103F"/>
    <w:rsid w:val="006D4D09"/>
    <w:rsid w:val="006D57D0"/>
    <w:rsid w:val="006D71AE"/>
    <w:rsid w:val="006D7262"/>
    <w:rsid w:val="006E036E"/>
    <w:rsid w:val="006E0E9F"/>
    <w:rsid w:val="006E10E7"/>
    <w:rsid w:val="006E1339"/>
    <w:rsid w:val="006E2508"/>
    <w:rsid w:val="006E2BAA"/>
    <w:rsid w:val="006E5312"/>
    <w:rsid w:val="006E5B1B"/>
    <w:rsid w:val="006E5D41"/>
    <w:rsid w:val="006E6C8A"/>
    <w:rsid w:val="006E706B"/>
    <w:rsid w:val="006F055F"/>
    <w:rsid w:val="006F08D0"/>
    <w:rsid w:val="006F09BF"/>
    <w:rsid w:val="006F2295"/>
    <w:rsid w:val="006F3019"/>
    <w:rsid w:val="00700385"/>
    <w:rsid w:val="00701320"/>
    <w:rsid w:val="00702D55"/>
    <w:rsid w:val="007046C8"/>
    <w:rsid w:val="00705BF3"/>
    <w:rsid w:val="00706C24"/>
    <w:rsid w:val="00706D87"/>
    <w:rsid w:val="00710125"/>
    <w:rsid w:val="007106B0"/>
    <w:rsid w:val="00710CC0"/>
    <w:rsid w:val="00711013"/>
    <w:rsid w:val="00711028"/>
    <w:rsid w:val="00711464"/>
    <w:rsid w:val="007116DB"/>
    <w:rsid w:val="0071176B"/>
    <w:rsid w:val="00711B61"/>
    <w:rsid w:val="0071363E"/>
    <w:rsid w:val="0071370E"/>
    <w:rsid w:val="00714724"/>
    <w:rsid w:val="007155D5"/>
    <w:rsid w:val="0071588E"/>
    <w:rsid w:val="0071595A"/>
    <w:rsid w:val="00715DE0"/>
    <w:rsid w:val="007168B5"/>
    <w:rsid w:val="00716C74"/>
    <w:rsid w:val="00717500"/>
    <w:rsid w:val="0072148B"/>
    <w:rsid w:val="007235C5"/>
    <w:rsid w:val="00725FA9"/>
    <w:rsid w:val="00726E40"/>
    <w:rsid w:val="0072710F"/>
    <w:rsid w:val="00730723"/>
    <w:rsid w:val="00732604"/>
    <w:rsid w:val="00734ED3"/>
    <w:rsid w:val="00735BDA"/>
    <w:rsid w:val="00737238"/>
    <w:rsid w:val="007372C4"/>
    <w:rsid w:val="0074027F"/>
    <w:rsid w:val="00740C3B"/>
    <w:rsid w:val="007411A4"/>
    <w:rsid w:val="00741AC9"/>
    <w:rsid w:val="0074277B"/>
    <w:rsid w:val="00743688"/>
    <w:rsid w:val="00744A3F"/>
    <w:rsid w:val="00744EEC"/>
    <w:rsid w:val="00746D0E"/>
    <w:rsid w:val="007472CE"/>
    <w:rsid w:val="0075191C"/>
    <w:rsid w:val="00752BC1"/>
    <w:rsid w:val="00752E8A"/>
    <w:rsid w:val="00755AF3"/>
    <w:rsid w:val="00756B44"/>
    <w:rsid w:val="00756DF2"/>
    <w:rsid w:val="00757191"/>
    <w:rsid w:val="0075794F"/>
    <w:rsid w:val="0076084A"/>
    <w:rsid w:val="00761373"/>
    <w:rsid w:val="00762653"/>
    <w:rsid w:val="007628C6"/>
    <w:rsid w:val="00763836"/>
    <w:rsid w:val="00764364"/>
    <w:rsid w:val="00765073"/>
    <w:rsid w:val="007653EA"/>
    <w:rsid w:val="00765CA8"/>
    <w:rsid w:val="00765D81"/>
    <w:rsid w:val="00767814"/>
    <w:rsid w:val="00770369"/>
    <w:rsid w:val="007705CA"/>
    <w:rsid w:val="00770E3D"/>
    <w:rsid w:val="00770ECD"/>
    <w:rsid w:val="007726D2"/>
    <w:rsid w:val="0077299E"/>
    <w:rsid w:val="0077385C"/>
    <w:rsid w:val="00774362"/>
    <w:rsid w:val="0077475F"/>
    <w:rsid w:val="007759A4"/>
    <w:rsid w:val="007768DD"/>
    <w:rsid w:val="00776B3F"/>
    <w:rsid w:val="00776EAE"/>
    <w:rsid w:val="007777F3"/>
    <w:rsid w:val="007779E9"/>
    <w:rsid w:val="00780F59"/>
    <w:rsid w:val="00781531"/>
    <w:rsid w:val="00781555"/>
    <w:rsid w:val="007817E6"/>
    <w:rsid w:val="0078220A"/>
    <w:rsid w:val="00782AEE"/>
    <w:rsid w:val="007833A8"/>
    <w:rsid w:val="00784DC4"/>
    <w:rsid w:val="00785B94"/>
    <w:rsid w:val="00785B96"/>
    <w:rsid w:val="00785BE4"/>
    <w:rsid w:val="00786408"/>
    <w:rsid w:val="00787AFA"/>
    <w:rsid w:val="007906D7"/>
    <w:rsid w:val="00790B4C"/>
    <w:rsid w:val="00790FE0"/>
    <w:rsid w:val="00791A2E"/>
    <w:rsid w:val="0079460E"/>
    <w:rsid w:val="0079461D"/>
    <w:rsid w:val="00795B53"/>
    <w:rsid w:val="00796069"/>
    <w:rsid w:val="007960DA"/>
    <w:rsid w:val="007A0E2E"/>
    <w:rsid w:val="007A1D69"/>
    <w:rsid w:val="007A2C27"/>
    <w:rsid w:val="007A3928"/>
    <w:rsid w:val="007A3C0D"/>
    <w:rsid w:val="007A4D75"/>
    <w:rsid w:val="007A5482"/>
    <w:rsid w:val="007A79E9"/>
    <w:rsid w:val="007B1D2F"/>
    <w:rsid w:val="007B2D09"/>
    <w:rsid w:val="007B4D1C"/>
    <w:rsid w:val="007B64A2"/>
    <w:rsid w:val="007B6984"/>
    <w:rsid w:val="007B7C51"/>
    <w:rsid w:val="007C0551"/>
    <w:rsid w:val="007C0A1E"/>
    <w:rsid w:val="007C0F68"/>
    <w:rsid w:val="007C3D14"/>
    <w:rsid w:val="007C429B"/>
    <w:rsid w:val="007C4B16"/>
    <w:rsid w:val="007C7C55"/>
    <w:rsid w:val="007D25C9"/>
    <w:rsid w:val="007D27B8"/>
    <w:rsid w:val="007D39F2"/>
    <w:rsid w:val="007D3BD5"/>
    <w:rsid w:val="007D404B"/>
    <w:rsid w:val="007D5CA0"/>
    <w:rsid w:val="007D65EE"/>
    <w:rsid w:val="007D7134"/>
    <w:rsid w:val="007E0221"/>
    <w:rsid w:val="007E04B9"/>
    <w:rsid w:val="007E0550"/>
    <w:rsid w:val="007E08F7"/>
    <w:rsid w:val="007E0CF9"/>
    <w:rsid w:val="007E34B0"/>
    <w:rsid w:val="007E3B98"/>
    <w:rsid w:val="007E3BB6"/>
    <w:rsid w:val="007E3FCA"/>
    <w:rsid w:val="007E4686"/>
    <w:rsid w:val="007E4728"/>
    <w:rsid w:val="007E494B"/>
    <w:rsid w:val="007E4E74"/>
    <w:rsid w:val="007E5C2F"/>
    <w:rsid w:val="007E6708"/>
    <w:rsid w:val="007E6B52"/>
    <w:rsid w:val="007E6F2C"/>
    <w:rsid w:val="007E790A"/>
    <w:rsid w:val="007F44CD"/>
    <w:rsid w:val="007F4581"/>
    <w:rsid w:val="007F5113"/>
    <w:rsid w:val="007F7CD8"/>
    <w:rsid w:val="00804397"/>
    <w:rsid w:val="00804905"/>
    <w:rsid w:val="00805ABF"/>
    <w:rsid w:val="00806047"/>
    <w:rsid w:val="00807657"/>
    <w:rsid w:val="00810ADA"/>
    <w:rsid w:val="00810AFC"/>
    <w:rsid w:val="00811C8A"/>
    <w:rsid w:val="0081376D"/>
    <w:rsid w:val="00813770"/>
    <w:rsid w:val="0081519A"/>
    <w:rsid w:val="00815B0E"/>
    <w:rsid w:val="008162CB"/>
    <w:rsid w:val="00816828"/>
    <w:rsid w:val="00816886"/>
    <w:rsid w:val="008168E0"/>
    <w:rsid w:val="00817E38"/>
    <w:rsid w:val="00817F19"/>
    <w:rsid w:val="0082373E"/>
    <w:rsid w:val="00823B90"/>
    <w:rsid w:val="008245F0"/>
    <w:rsid w:val="00825FF2"/>
    <w:rsid w:val="00826259"/>
    <w:rsid w:val="00826390"/>
    <w:rsid w:val="008270C8"/>
    <w:rsid w:val="008273F8"/>
    <w:rsid w:val="00830CD4"/>
    <w:rsid w:val="00830ECB"/>
    <w:rsid w:val="00831322"/>
    <w:rsid w:val="0083159E"/>
    <w:rsid w:val="00832DA1"/>
    <w:rsid w:val="00833282"/>
    <w:rsid w:val="00833FB2"/>
    <w:rsid w:val="00834AF1"/>
    <w:rsid w:val="008353BF"/>
    <w:rsid w:val="008370DB"/>
    <w:rsid w:val="008403EF"/>
    <w:rsid w:val="0084048A"/>
    <w:rsid w:val="0084110E"/>
    <w:rsid w:val="00841E48"/>
    <w:rsid w:val="00842226"/>
    <w:rsid w:val="00844032"/>
    <w:rsid w:val="00844B3E"/>
    <w:rsid w:val="00844F5A"/>
    <w:rsid w:val="008456D2"/>
    <w:rsid w:val="0084711F"/>
    <w:rsid w:val="0084767C"/>
    <w:rsid w:val="0085011B"/>
    <w:rsid w:val="00850C1F"/>
    <w:rsid w:val="008513CF"/>
    <w:rsid w:val="00851A4C"/>
    <w:rsid w:val="008523E5"/>
    <w:rsid w:val="00853D0E"/>
    <w:rsid w:val="00853F0D"/>
    <w:rsid w:val="00854029"/>
    <w:rsid w:val="00854D0C"/>
    <w:rsid w:val="00855CD8"/>
    <w:rsid w:val="00855F3D"/>
    <w:rsid w:val="00856A69"/>
    <w:rsid w:val="00856FDF"/>
    <w:rsid w:val="008602B9"/>
    <w:rsid w:val="00861541"/>
    <w:rsid w:val="00861A94"/>
    <w:rsid w:val="008620AF"/>
    <w:rsid w:val="0086400D"/>
    <w:rsid w:val="00864C24"/>
    <w:rsid w:val="00864DFB"/>
    <w:rsid w:val="00865333"/>
    <w:rsid w:val="008655ED"/>
    <w:rsid w:val="008658D8"/>
    <w:rsid w:val="00865B11"/>
    <w:rsid w:val="00871109"/>
    <w:rsid w:val="00871319"/>
    <w:rsid w:val="0087168E"/>
    <w:rsid w:val="00871AEB"/>
    <w:rsid w:val="00872CA2"/>
    <w:rsid w:val="008762AB"/>
    <w:rsid w:val="00876B8C"/>
    <w:rsid w:val="00877E85"/>
    <w:rsid w:val="0088011C"/>
    <w:rsid w:val="00880EF6"/>
    <w:rsid w:val="00881710"/>
    <w:rsid w:val="00884010"/>
    <w:rsid w:val="0088419C"/>
    <w:rsid w:val="008848ED"/>
    <w:rsid w:val="00885F9A"/>
    <w:rsid w:val="00886F6F"/>
    <w:rsid w:val="008879C6"/>
    <w:rsid w:val="00890B9B"/>
    <w:rsid w:val="00892E82"/>
    <w:rsid w:val="00893148"/>
    <w:rsid w:val="008937F7"/>
    <w:rsid w:val="00894361"/>
    <w:rsid w:val="008943A5"/>
    <w:rsid w:val="0089462F"/>
    <w:rsid w:val="00895C3D"/>
    <w:rsid w:val="00896178"/>
    <w:rsid w:val="00897A95"/>
    <w:rsid w:val="00897E6B"/>
    <w:rsid w:val="008A00CC"/>
    <w:rsid w:val="008A0AB3"/>
    <w:rsid w:val="008A128A"/>
    <w:rsid w:val="008A1483"/>
    <w:rsid w:val="008A1B07"/>
    <w:rsid w:val="008A2AC9"/>
    <w:rsid w:val="008A5AE5"/>
    <w:rsid w:val="008A5CBD"/>
    <w:rsid w:val="008A6A08"/>
    <w:rsid w:val="008A7325"/>
    <w:rsid w:val="008A7A84"/>
    <w:rsid w:val="008A7D25"/>
    <w:rsid w:val="008B05D3"/>
    <w:rsid w:val="008B0B41"/>
    <w:rsid w:val="008B2738"/>
    <w:rsid w:val="008B2E38"/>
    <w:rsid w:val="008B458D"/>
    <w:rsid w:val="008B4746"/>
    <w:rsid w:val="008B593F"/>
    <w:rsid w:val="008B6CD1"/>
    <w:rsid w:val="008B72D8"/>
    <w:rsid w:val="008C1BBC"/>
    <w:rsid w:val="008C38B4"/>
    <w:rsid w:val="008C3A75"/>
    <w:rsid w:val="008C5FE2"/>
    <w:rsid w:val="008D13B9"/>
    <w:rsid w:val="008D203E"/>
    <w:rsid w:val="008D31C6"/>
    <w:rsid w:val="008D34FB"/>
    <w:rsid w:val="008D3799"/>
    <w:rsid w:val="008D42ED"/>
    <w:rsid w:val="008D490A"/>
    <w:rsid w:val="008D58CF"/>
    <w:rsid w:val="008D650D"/>
    <w:rsid w:val="008D7AEE"/>
    <w:rsid w:val="008E21B6"/>
    <w:rsid w:val="008E4F4A"/>
    <w:rsid w:val="008E5163"/>
    <w:rsid w:val="008E5ACA"/>
    <w:rsid w:val="008E73CE"/>
    <w:rsid w:val="008F0088"/>
    <w:rsid w:val="008F0CEA"/>
    <w:rsid w:val="008F1A72"/>
    <w:rsid w:val="008F36AF"/>
    <w:rsid w:val="008F5E10"/>
    <w:rsid w:val="008F6E16"/>
    <w:rsid w:val="008F748A"/>
    <w:rsid w:val="008F759F"/>
    <w:rsid w:val="00901D56"/>
    <w:rsid w:val="00902169"/>
    <w:rsid w:val="009027DD"/>
    <w:rsid w:val="00902D38"/>
    <w:rsid w:val="00902EF0"/>
    <w:rsid w:val="00903467"/>
    <w:rsid w:val="009043BC"/>
    <w:rsid w:val="009062A3"/>
    <w:rsid w:val="009073EE"/>
    <w:rsid w:val="00907D63"/>
    <w:rsid w:val="00907E8E"/>
    <w:rsid w:val="00910913"/>
    <w:rsid w:val="00911168"/>
    <w:rsid w:val="0091172D"/>
    <w:rsid w:val="00912978"/>
    <w:rsid w:val="00913890"/>
    <w:rsid w:val="009150FA"/>
    <w:rsid w:val="00915A8A"/>
    <w:rsid w:val="00915BFA"/>
    <w:rsid w:val="00923322"/>
    <w:rsid w:val="00923444"/>
    <w:rsid w:val="009240AA"/>
    <w:rsid w:val="00924DFF"/>
    <w:rsid w:val="0092531C"/>
    <w:rsid w:val="00931818"/>
    <w:rsid w:val="009328EF"/>
    <w:rsid w:val="00933640"/>
    <w:rsid w:val="0093412C"/>
    <w:rsid w:val="00936708"/>
    <w:rsid w:val="00941FF8"/>
    <w:rsid w:val="00942237"/>
    <w:rsid w:val="00942742"/>
    <w:rsid w:val="00943B72"/>
    <w:rsid w:val="0094426E"/>
    <w:rsid w:val="00944459"/>
    <w:rsid w:val="00946311"/>
    <w:rsid w:val="0094718D"/>
    <w:rsid w:val="009511A0"/>
    <w:rsid w:val="00951AD0"/>
    <w:rsid w:val="0095286D"/>
    <w:rsid w:val="00953EEF"/>
    <w:rsid w:val="0095535F"/>
    <w:rsid w:val="00955681"/>
    <w:rsid w:val="009604FA"/>
    <w:rsid w:val="00960923"/>
    <w:rsid w:val="009611A2"/>
    <w:rsid w:val="009642BB"/>
    <w:rsid w:val="009650EF"/>
    <w:rsid w:val="00965356"/>
    <w:rsid w:val="0096570D"/>
    <w:rsid w:val="00965C72"/>
    <w:rsid w:val="009663AB"/>
    <w:rsid w:val="00966C88"/>
    <w:rsid w:val="00970967"/>
    <w:rsid w:val="00970A90"/>
    <w:rsid w:val="00971040"/>
    <w:rsid w:val="00973E83"/>
    <w:rsid w:val="00974BF8"/>
    <w:rsid w:val="00975C54"/>
    <w:rsid w:val="00976062"/>
    <w:rsid w:val="009760B4"/>
    <w:rsid w:val="00976C24"/>
    <w:rsid w:val="00976F2B"/>
    <w:rsid w:val="00976FC3"/>
    <w:rsid w:val="009775C0"/>
    <w:rsid w:val="0098157C"/>
    <w:rsid w:val="00982480"/>
    <w:rsid w:val="00983F6B"/>
    <w:rsid w:val="00984D79"/>
    <w:rsid w:val="00984DB0"/>
    <w:rsid w:val="009852BE"/>
    <w:rsid w:val="009860CF"/>
    <w:rsid w:val="009860D0"/>
    <w:rsid w:val="00986C3A"/>
    <w:rsid w:val="00986E04"/>
    <w:rsid w:val="00987128"/>
    <w:rsid w:val="00991AB8"/>
    <w:rsid w:val="00993831"/>
    <w:rsid w:val="00994228"/>
    <w:rsid w:val="0099525B"/>
    <w:rsid w:val="009957A4"/>
    <w:rsid w:val="00997D38"/>
    <w:rsid w:val="009A0A19"/>
    <w:rsid w:val="009A0F30"/>
    <w:rsid w:val="009A1059"/>
    <w:rsid w:val="009A1801"/>
    <w:rsid w:val="009A1A9D"/>
    <w:rsid w:val="009A1B65"/>
    <w:rsid w:val="009A1FFC"/>
    <w:rsid w:val="009A2255"/>
    <w:rsid w:val="009A3686"/>
    <w:rsid w:val="009A3ADC"/>
    <w:rsid w:val="009A3DEE"/>
    <w:rsid w:val="009A76B2"/>
    <w:rsid w:val="009A7C96"/>
    <w:rsid w:val="009B13B9"/>
    <w:rsid w:val="009B18C7"/>
    <w:rsid w:val="009B1A4D"/>
    <w:rsid w:val="009B3475"/>
    <w:rsid w:val="009B3B26"/>
    <w:rsid w:val="009B3B80"/>
    <w:rsid w:val="009B40BF"/>
    <w:rsid w:val="009B4658"/>
    <w:rsid w:val="009B5260"/>
    <w:rsid w:val="009B583C"/>
    <w:rsid w:val="009B70FB"/>
    <w:rsid w:val="009B742A"/>
    <w:rsid w:val="009B77AD"/>
    <w:rsid w:val="009B7B83"/>
    <w:rsid w:val="009C0830"/>
    <w:rsid w:val="009C13E9"/>
    <w:rsid w:val="009C19EB"/>
    <w:rsid w:val="009C27AF"/>
    <w:rsid w:val="009C2FB3"/>
    <w:rsid w:val="009C3479"/>
    <w:rsid w:val="009C4415"/>
    <w:rsid w:val="009C457D"/>
    <w:rsid w:val="009C4773"/>
    <w:rsid w:val="009C5645"/>
    <w:rsid w:val="009C6282"/>
    <w:rsid w:val="009C6844"/>
    <w:rsid w:val="009C7121"/>
    <w:rsid w:val="009D2F9D"/>
    <w:rsid w:val="009D30AA"/>
    <w:rsid w:val="009D3153"/>
    <w:rsid w:val="009D4755"/>
    <w:rsid w:val="009D4E0B"/>
    <w:rsid w:val="009D62BD"/>
    <w:rsid w:val="009D6D6A"/>
    <w:rsid w:val="009D7784"/>
    <w:rsid w:val="009E0419"/>
    <w:rsid w:val="009E05A6"/>
    <w:rsid w:val="009E07BD"/>
    <w:rsid w:val="009E2086"/>
    <w:rsid w:val="009E2408"/>
    <w:rsid w:val="009E25F8"/>
    <w:rsid w:val="009E2FD3"/>
    <w:rsid w:val="009E3150"/>
    <w:rsid w:val="009E3D5E"/>
    <w:rsid w:val="009E456A"/>
    <w:rsid w:val="009E4BBE"/>
    <w:rsid w:val="009E685B"/>
    <w:rsid w:val="009E6B33"/>
    <w:rsid w:val="009F188F"/>
    <w:rsid w:val="009F37BE"/>
    <w:rsid w:val="009F3E1E"/>
    <w:rsid w:val="009F470A"/>
    <w:rsid w:val="009F5947"/>
    <w:rsid w:val="009F7799"/>
    <w:rsid w:val="009F7991"/>
    <w:rsid w:val="00A03646"/>
    <w:rsid w:val="00A04383"/>
    <w:rsid w:val="00A04A0D"/>
    <w:rsid w:val="00A04A15"/>
    <w:rsid w:val="00A06222"/>
    <w:rsid w:val="00A06AE6"/>
    <w:rsid w:val="00A07AA4"/>
    <w:rsid w:val="00A07F62"/>
    <w:rsid w:val="00A102A8"/>
    <w:rsid w:val="00A12763"/>
    <w:rsid w:val="00A132DB"/>
    <w:rsid w:val="00A13390"/>
    <w:rsid w:val="00A133D2"/>
    <w:rsid w:val="00A13E37"/>
    <w:rsid w:val="00A15AE7"/>
    <w:rsid w:val="00A22021"/>
    <w:rsid w:val="00A23729"/>
    <w:rsid w:val="00A26BFD"/>
    <w:rsid w:val="00A31418"/>
    <w:rsid w:val="00A31D8B"/>
    <w:rsid w:val="00A32CC1"/>
    <w:rsid w:val="00A35790"/>
    <w:rsid w:val="00A35FF6"/>
    <w:rsid w:val="00A3646D"/>
    <w:rsid w:val="00A367FF"/>
    <w:rsid w:val="00A37B24"/>
    <w:rsid w:val="00A42F22"/>
    <w:rsid w:val="00A437DD"/>
    <w:rsid w:val="00A43AFE"/>
    <w:rsid w:val="00A43EB7"/>
    <w:rsid w:val="00A447C0"/>
    <w:rsid w:val="00A450A3"/>
    <w:rsid w:val="00A457CF"/>
    <w:rsid w:val="00A4657F"/>
    <w:rsid w:val="00A469AA"/>
    <w:rsid w:val="00A470F3"/>
    <w:rsid w:val="00A5055D"/>
    <w:rsid w:val="00A52FF1"/>
    <w:rsid w:val="00A568C1"/>
    <w:rsid w:val="00A56FE2"/>
    <w:rsid w:val="00A570B8"/>
    <w:rsid w:val="00A57425"/>
    <w:rsid w:val="00A57922"/>
    <w:rsid w:val="00A61BB1"/>
    <w:rsid w:val="00A621B2"/>
    <w:rsid w:val="00A62218"/>
    <w:rsid w:val="00A625E6"/>
    <w:rsid w:val="00A62CA3"/>
    <w:rsid w:val="00A637A1"/>
    <w:rsid w:val="00A63A1D"/>
    <w:rsid w:val="00A652B2"/>
    <w:rsid w:val="00A65706"/>
    <w:rsid w:val="00A66D6B"/>
    <w:rsid w:val="00A67371"/>
    <w:rsid w:val="00A70628"/>
    <w:rsid w:val="00A70EC2"/>
    <w:rsid w:val="00A719B3"/>
    <w:rsid w:val="00A720C3"/>
    <w:rsid w:val="00A728BA"/>
    <w:rsid w:val="00A73644"/>
    <w:rsid w:val="00A73C64"/>
    <w:rsid w:val="00A74130"/>
    <w:rsid w:val="00A7432D"/>
    <w:rsid w:val="00A74755"/>
    <w:rsid w:val="00A75C95"/>
    <w:rsid w:val="00A75F69"/>
    <w:rsid w:val="00A769DB"/>
    <w:rsid w:val="00A7700D"/>
    <w:rsid w:val="00A77196"/>
    <w:rsid w:val="00A7773C"/>
    <w:rsid w:val="00A77975"/>
    <w:rsid w:val="00A80EC5"/>
    <w:rsid w:val="00A81108"/>
    <w:rsid w:val="00A825AB"/>
    <w:rsid w:val="00A83348"/>
    <w:rsid w:val="00A83AA8"/>
    <w:rsid w:val="00A847D8"/>
    <w:rsid w:val="00A84FE4"/>
    <w:rsid w:val="00A852E6"/>
    <w:rsid w:val="00A86BEE"/>
    <w:rsid w:val="00A876AE"/>
    <w:rsid w:val="00A904D9"/>
    <w:rsid w:val="00A9085D"/>
    <w:rsid w:val="00A909C1"/>
    <w:rsid w:val="00A91173"/>
    <w:rsid w:val="00A96954"/>
    <w:rsid w:val="00A97884"/>
    <w:rsid w:val="00A9792E"/>
    <w:rsid w:val="00AA12BA"/>
    <w:rsid w:val="00AA14A9"/>
    <w:rsid w:val="00AA1666"/>
    <w:rsid w:val="00AA1960"/>
    <w:rsid w:val="00AA250A"/>
    <w:rsid w:val="00AA2E7C"/>
    <w:rsid w:val="00AA2EFC"/>
    <w:rsid w:val="00AA46C5"/>
    <w:rsid w:val="00AA4AA7"/>
    <w:rsid w:val="00AA4B4D"/>
    <w:rsid w:val="00AA51D0"/>
    <w:rsid w:val="00AA74DC"/>
    <w:rsid w:val="00AA765B"/>
    <w:rsid w:val="00AA7B6B"/>
    <w:rsid w:val="00AB0419"/>
    <w:rsid w:val="00AB2476"/>
    <w:rsid w:val="00AB3073"/>
    <w:rsid w:val="00AB31B7"/>
    <w:rsid w:val="00AB59BF"/>
    <w:rsid w:val="00AB5BD5"/>
    <w:rsid w:val="00AB7C92"/>
    <w:rsid w:val="00AB7DAD"/>
    <w:rsid w:val="00AC054B"/>
    <w:rsid w:val="00AC09C1"/>
    <w:rsid w:val="00AC0AEE"/>
    <w:rsid w:val="00AC180B"/>
    <w:rsid w:val="00AC180C"/>
    <w:rsid w:val="00AC3E75"/>
    <w:rsid w:val="00AC456B"/>
    <w:rsid w:val="00AC6523"/>
    <w:rsid w:val="00AC6680"/>
    <w:rsid w:val="00AC7203"/>
    <w:rsid w:val="00AC7A20"/>
    <w:rsid w:val="00AD03FA"/>
    <w:rsid w:val="00AD0689"/>
    <w:rsid w:val="00AD12FB"/>
    <w:rsid w:val="00AD19C2"/>
    <w:rsid w:val="00AD1A4F"/>
    <w:rsid w:val="00AD1D73"/>
    <w:rsid w:val="00AD1D8C"/>
    <w:rsid w:val="00AD2486"/>
    <w:rsid w:val="00AD2A87"/>
    <w:rsid w:val="00AD3781"/>
    <w:rsid w:val="00AD3D2A"/>
    <w:rsid w:val="00AD4538"/>
    <w:rsid w:val="00AD4675"/>
    <w:rsid w:val="00AD5060"/>
    <w:rsid w:val="00AD56E3"/>
    <w:rsid w:val="00AD58A8"/>
    <w:rsid w:val="00AD58EB"/>
    <w:rsid w:val="00AD602E"/>
    <w:rsid w:val="00AD6278"/>
    <w:rsid w:val="00AD7AB1"/>
    <w:rsid w:val="00AE1B90"/>
    <w:rsid w:val="00AE2029"/>
    <w:rsid w:val="00AE2F5E"/>
    <w:rsid w:val="00AE43E1"/>
    <w:rsid w:val="00AE4AFF"/>
    <w:rsid w:val="00AE5F90"/>
    <w:rsid w:val="00AE6D71"/>
    <w:rsid w:val="00AF058F"/>
    <w:rsid w:val="00AF14C1"/>
    <w:rsid w:val="00AF2E68"/>
    <w:rsid w:val="00AF39F1"/>
    <w:rsid w:val="00AF46E8"/>
    <w:rsid w:val="00B02079"/>
    <w:rsid w:val="00B02426"/>
    <w:rsid w:val="00B035B4"/>
    <w:rsid w:val="00B03C04"/>
    <w:rsid w:val="00B043B9"/>
    <w:rsid w:val="00B0464F"/>
    <w:rsid w:val="00B05C2F"/>
    <w:rsid w:val="00B05F4F"/>
    <w:rsid w:val="00B06273"/>
    <w:rsid w:val="00B06636"/>
    <w:rsid w:val="00B07391"/>
    <w:rsid w:val="00B07C1F"/>
    <w:rsid w:val="00B10AE1"/>
    <w:rsid w:val="00B13A95"/>
    <w:rsid w:val="00B13AF8"/>
    <w:rsid w:val="00B15941"/>
    <w:rsid w:val="00B15F26"/>
    <w:rsid w:val="00B15F2F"/>
    <w:rsid w:val="00B17974"/>
    <w:rsid w:val="00B17D13"/>
    <w:rsid w:val="00B17DCA"/>
    <w:rsid w:val="00B17FD9"/>
    <w:rsid w:val="00B20994"/>
    <w:rsid w:val="00B212FF"/>
    <w:rsid w:val="00B21A28"/>
    <w:rsid w:val="00B2295B"/>
    <w:rsid w:val="00B23A3B"/>
    <w:rsid w:val="00B26122"/>
    <w:rsid w:val="00B264C7"/>
    <w:rsid w:val="00B27E5E"/>
    <w:rsid w:val="00B30FC7"/>
    <w:rsid w:val="00B30FD8"/>
    <w:rsid w:val="00B321D5"/>
    <w:rsid w:val="00B32A0E"/>
    <w:rsid w:val="00B32C8A"/>
    <w:rsid w:val="00B32D40"/>
    <w:rsid w:val="00B33164"/>
    <w:rsid w:val="00B33DA7"/>
    <w:rsid w:val="00B3667A"/>
    <w:rsid w:val="00B371B5"/>
    <w:rsid w:val="00B37433"/>
    <w:rsid w:val="00B37C6E"/>
    <w:rsid w:val="00B37E9D"/>
    <w:rsid w:val="00B42089"/>
    <w:rsid w:val="00B42A22"/>
    <w:rsid w:val="00B42C08"/>
    <w:rsid w:val="00B42F4F"/>
    <w:rsid w:val="00B43280"/>
    <w:rsid w:val="00B43A7B"/>
    <w:rsid w:val="00B45E57"/>
    <w:rsid w:val="00B45E92"/>
    <w:rsid w:val="00B462E2"/>
    <w:rsid w:val="00B468B1"/>
    <w:rsid w:val="00B47BCC"/>
    <w:rsid w:val="00B505AD"/>
    <w:rsid w:val="00B51A63"/>
    <w:rsid w:val="00B52854"/>
    <w:rsid w:val="00B52C5B"/>
    <w:rsid w:val="00B533B3"/>
    <w:rsid w:val="00B53904"/>
    <w:rsid w:val="00B544BD"/>
    <w:rsid w:val="00B544FE"/>
    <w:rsid w:val="00B54ECA"/>
    <w:rsid w:val="00B55005"/>
    <w:rsid w:val="00B56432"/>
    <w:rsid w:val="00B60908"/>
    <w:rsid w:val="00B63F2F"/>
    <w:rsid w:val="00B6517A"/>
    <w:rsid w:val="00B65A31"/>
    <w:rsid w:val="00B66260"/>
    <w:rsid w:val="00B66B7F"/>
    <w:rsid w:val="00B66E0B"/>
    <w:rsid w:val="00B72294"/>
    <w:rsid w:val="00B73702"/>
    <w:rsid w:val="00B74507"/>
    <w:rsid w:val="00B7617F"/>
    <w:rsid w:val="00B77A69"/>
    <w:rsid w:val="00B77D76"/>
    <w:rsid w:val="00B80FD4"/>
    <w:rsid w:val="00B810A5"/>
    <w:rsid w:val="00B81678"/>
    <w:rsid w:val="00B823AB"/>
    <w:rsid w:val="00B8422F"/>
    <w:rsid w:val="00B85A86"/>
    <w:rsid w:val="00B87413"/>
    <w:rsid w:val="00B90F60"/>
    <w:rsid w:val="00B92D82"/>
    <w:rsid w:val="00B9396E"/>
    <w:rsid w:val="00B93CBF"/>
    <w:rsid w:val="00B943CF"/>
    <w:rsid w:val="00B9512B"/>
    <w:rsid w:val="00B96987"/>
    <w:rsid w:val="00B96D0B"/>
    <w:rsid w:val="00B96F3A"/>
    <w:rsid w:val="00B97EFE"/>
    <w:rsid w:val="00BA010F"/>
    <w:rsid w:val="00BA0810"/>
    <w:rsid w:val="00BA1650"/>
    <w:rsid w:val="00BA38CD"/>
    <w:rsid w:val="00BA3CFF"/>
    <w:rsid w:val="00BA3F85"/>
    <w:rsid w:val="00BA4D4D"/>
    <w:rsid w:val="00BA506C"/>
    <w:rsid w:val="00BA6D2F"/>
    <w:rsid w:val="00BB098F"/>
    <w:rsid w:val="00BB15C2"/>
    <w:rsid w:val="00BB2F26"/>
    <w:rsid w:val="00BB4D8A"/>
    <w:rsid w:val="00BB4FA6"/>
    <w:rsid w:val="00BB5F38"/>
    <w:rsid w:val="00BB712E"/>
    <w:rsid w:val="00BB73CF"/>
    <w:rsid w:val="00BB785B"/>
    <w:rsid w:val="00BC0283"/>
    <w:rsid w:val="00BC0868"/>
    <w:rsid w:val="00BC1115"/>
    <w:rsid w:val="00BC1243"/>
    <w:rsid w:val="00BC1831"/>
    <w:rsid w:val="00BC1B90"/>
    <w:rsid w:val="00BC284B"/>
    <w:rsid w:val="00BC3B3B"/>
    <w:rsid w:val="00BC3FFA"/>
    <w:rsid w:val="00BC40A6"/>
    <w:rsid w:val="00BC53FC"/>
    <w:rsid w:val="00BC5D51"/>
    <w:rsid w:val="00BC5F8D"/>
    <w:rsid w:val="00BC6189"/>
    <w:rsid w:val="00BC76FB"/>
    <w:rsid w:val="00BC79D7"/>
    <w:rsid w:val="00BD070C"/>
    <w:rsid w:val="00BD0EBC"/>
    <w:rsid w:val="00BD111E"/>
    <w:rsid w:val="00BD17D0"/>
    <w:rsid w:val="00BD1995"/>
    <w:rsid w:val="00BD4BF6"/>
    <w:rsid w:val="00BD5307"/>
    <w:rsid w:val="00BE1617"/>
    <w:rsid w:val="00BE1A9B"/>
    <w:rsid w:val="00BE2039"/>
    <w:rsid w:val="00BE2536"/>
    <w:rsid w:val="00BE2B51"/>
    <w:rsid w:val="00BE3F97"/>
    <w:rsid w:val="00BE5F4C"/>
    <w:rsid w:val="00BE65A3"/>
    <w:rsid w:val="00BE6C8A"/>
    <w:rsid w:val="00BE7FF5"/>
    <w:rsid w:val="00BF12F2"/>
    <w:rsid w:val="00BF237C"/>
    <w:rsid w:val="00BF2821"/>
    <w:rsid w:val="00BF3613"/>
    <w:rsid w:val="00BF391C"/>
    <w:rsid w:val="00BF3BE6"/>
    <w:rsid w:val="00BF509A"/>
    <w:rsid w:val="00BF5274"/>
    <w:rsid w:val="00BF74E1"/>
    <w:rsid w:val="00BF77FC"/>
    <w:rsid w:val="00BF7F9F"/>
    <w:rsid w:val="00C00968"/>
    <w:rsid w:val="00C013AF"/>
    <w:rsid w:val="00C01DC6"/>
    <w:rsid w:val="00C0392C"/>
    <w:rsid w:val="00C05362"/>
    <w:rsid w:val="00C05D7F"/>
    <w:rsid w:val="00C06017"/>
    <w:rsid w:val="00C060B9"/>
    <w:rsid w:val="00C103EB"/>
    <w:rsid w:val="00C10505"/>
    <w:rsid w:val="00C1126F"/>
    <w:rsid w:val="00C1127B"/>
    <w:rsid w:val="00C116C0"/>
    <w:rsid w:val="00C120A6"/>
    <w:rsid w:val="00C12AAD"/>
    <w:rsid w:val="00C14519"/>
    <w:rsid w:val="00C159A6"/>
    <w:rsid w:val="00C15FF6"/>
    <w:rsid w:val="00C164AB"/>
    <w:rsid w:val="00C16AC1"/>
    <w:rsid w:val="00C219C9"/>
    <w:rsid w:val="00C21A22"/>
    <w:rsid w:val="00C24AEC"/>
    <w:rsid w:val="00C25196"/>
    <w:rsid w:val="00C25695"/>
    <w:rsid w:val="00C26DDF"/>
    <w:rsid w:val="00C303CA"/>
    <w:rsid w:val="00C305D0"/>
    <w:rsid w:val="00C30DE8"/>
    <w:rsid w:val="00C3112E"/>
    <w:rsid w:val="00C3158A"/>
    <w:rsid w:val="00C3184D"/>
    <w:rsid w:val="00C33190"/>
    <w:rsid w:val="00C33D9B"/>
    <w:rsid w:val="00C340E2"/>
    <w:rsid w:val="00C34769"/>
    <w:rsid w:val="00C360E1"/>
    <w:rsid w:val="00C36291"/>
    <w:rsid w:val="00C36834"/>
    <w:rsid w:val="00C4098B"/>
    <w:rsid w:val="00C413DA"/>
    <w:rsid w:val="00C41CDD"/>
    <w:rsid w:val="00C42C6A"/>
    <w:rsid w:val="00C4387E"/>
    <w:rsid w:val="00C43A34"/>
    <w:rsid w:val="00C43E9B"/>
    <w:rsid w:val="00C447BE"/>
    <w:rsid w:val="00C45686"/>
    <w:rsid w:val="00C45E43"/>
    <w:rsid w:val="00C50750"/>
    <w:rsid w:val="00C50E48"/>
    <w:rsid w:val="00C51373"/>
    <w:rsid w:val="00C52B6B"/>
    <w:rsid w:val="00C54571"/>
    <w:rsid w:val="00C55869"/>
    <w:rsid w:val="00C55A4F"/>
    <w:rsid w:val="00C5787D"/>
    <w:rsid w:val="00C57B8B"/>
    <w:rsid w:val="00C57F91"/>
    <w:rsid w:val="00C61D20"/>
    <w:rsid w:val="00C63322"/>
    <w:rsid w:val="00C64037"/>
    <w:rsid w:val="00C64545"/>
    <w:rsid w:val="00C67562"/>
    <w:rsid w:val="00C71A15"/>
    <w:rsid w:val="00C71CB9"/>
    <w:rsid w:val="00C71F9E"/>
    <w:rsid w:val="00C7282C"/>
    <w:rsid w:val="00C734C4"/>
    <w:rsid w:val="00C73BE0"/>
    <w:rsid w:val="00C75F9A"/>
    <w:rsid w:val="00C761D2"/>
    <w:rsid w:val="00C76666"/>
    <w:rsid w:val="00C76D92"/>
    <w:rsid w:val="00C77877"/>
    <w:rsid w:val="00C8107D"/>
    <w:rsid w:val="00C81179"/>
    <w:rsid w:val="00C817E0"/>
    <w:rsid w:val="00C82510"/>
    <w:rsid w:val="00C832C8"/>
    <w:rsid w:val="00C85CE3"/>
    <w:rsid w:val="00C8613E"/>
    <w:rsid w:val="00C86629"/>
    <w:rsid w:val="00C86E74"/>
    <w:rsid w:val="00C87422"/>
    <w:rsid w:val="00C90863"/>
    <w:rsid w:val="00C91F0C"/>
    <w:rsid w:val="00C952DD"/>
    <w:rsid w:val="00C9586A"/>
    <w:rsid w:val="00C968F1"/>
    <w:rsid w:val="00C978DA"/>
    <w:rsid w:val="00CA10CB"/>
    <w:rsid w:val="00CA1409"/>
    <w:rsid w:val="00CA35DC"/>
    <w:rsid w:val="00CA3959"/>
    <w:rsid w:val="00CA3CB9"/>
    <w:rsid w:val="00CA3EBE"/>
    <w:rsid w:val="00CA49BF"/>
    <w:rsid w:val="00CA51F0"/>
    <w:rsid w:val="00CA5886"/>
    <w:rsid w:val="00CA722B"/>
    <w:rsid w:val="00CA752F"/>
    <w:rsid w:val="00CA7BC7"/>
    <w:rsid w:val="00CA7BD5"/>
    <w:rsid w:val="00CB1089"/>
    <w:rsid w:val="00CB1E21"/>
    <w:rsid w:val="00CB52FE"/>
    <w:rsid w:val="00CB5586"/>
    <w:rsid w:val="00CB719F"/>
    <w:rsid w:val="00CB7B35"/>
    <w:rsid w:val="00CC0478"/>
    <w:rsid w:val="00CC04D4"/>
    <w:rsid w:val="00CC3969"/>
    <w:rsid w:val="00CC49C8"/>
    <w:rsid w:val="00CC6290"/>
    <w:rsid w:val="00CC6793"/>
    <w:rsid w:val="00CD2BA5"/>
    <w:rsid w:val="00CD2E12"/>
    <w:rsid w:val="00CD3550"/>
    <w:rsid w:val="00CD35F9"/>
    <w:rsid w:val="00CD53F3"/>
    <w:rsid w:val="00CD5844"/>
    <w:rsid w:val="00CD5915"/>
    <w:rsid w:val="00CD633F"/>
    <w:rsid w:val="00CD6DE2"/>
    <w:rsid w:val="00CD72DB"/>
    <w:rsid w:val="00CE085D"/>
    <w:rsid w:val="00CE19B7"/>
    <w:rsid w:val="00CE2B3C"/>
    <w:rsid w:val="00CE2C30"/>
    <w:rsid w:val="00CE3654"/>
    <w:rsid w:val="00CE4F56"/>
    <w:rsid w:val="00CE5360"/>
    <w:rsid w:val="00CE7F56"/>
    <w:rsid w:val="00CF06B2"/>
    <w:rsid w:val="00CF0BE7"/>
    <w:rsid w:val="00CF0DA7"/>
    <w:rsid w:val="00CF155B"/>
    <w:rsid w:val="00CF2857"/>
    <w:rsid w:val="00CF311A"/>
    <w:rsid w:val="00CF376E"/>
    <w:rsid w:val="00CF50FB"/>
    <w:rsid w:val="00CF5263"/>
    <w:rsid w:val="00CF56C9"/>
    <w:rsid w:val="00CF5DE5"/>
    <w:rsid w:val="00CF6201"/>
    <w:rsid w:val="00CF6814"/>
    <w:rsid w:val="00D01D19"/>
    <w:rsid w:val="00D02B1F"/>
    <w:rsid w:val="00D03D5C"/>
    <w:rsid w:val="00D05339"/>
    <w:rsid w:val="00D05353"/>
    <w:rsid w:val="00D07EBD"/>
    <w:rsid w:val="00D07F8F"/>
    <w:rsid w:val="00D10479"/>
    <w:rsid w:val="00D12388"/>
    <w:rsid w:val="00D12457"/>
    <w:rsid w:val="00D12A1D"/>
    <w:rsid w:val="00D135B5"/>
    <w:rsid w:val="00D13ADB"/>
    <w:rsid w:val="00D13C09"/>
    <w:rsid w:val="00D158A8"/>
    <w:rsid w:val="00D15F00"/>
    <w:rsid w:val="00D1603F"/>
    <w:rsid w:val="00D1686E"/>
    <w:rsid w:val="00D200CE"/>
    <w:rsid w:val="00D20FD1"/>
    <w:rsid w:val="00D21827"/>
    <w:rsid w:val="00D21D5A"/>
    <w:rsid w:val="00D22BD6"/>
    <w:rsid w:val="00D24D14"/>
    <w:rsid w:val="00D261A9"/>
    <w:rsid w:val="00D265F2"/>
    <w:rsid w:val="00D26692"/>
    <w:rsid w:val="00D26B59"/>
    <w:rsid w:val="00D277C3"/>
    <w:rsid w:val="00D27BB9"/>
    <w:rsid w:val="00D31347"/>
    <w:rsid w:val="00D31398"/>
    <w:rsid w:val="00D3178A"/>
    <w:rsid w:val="00D31A5F"/>
    <w:rsid w:val="00D32080"/>
    <w:rsid w:val="00D329E7"/>
    <w:rsid w:val="00D344BF"/>
    <w:rsid w:val="00D346C4"/>
    <w:rsid w:val="00D35240"/>
    <w:rsid w:val="00D3531D"/>
    <w:rsid w:val="00D35BBF"/>
    <w:rsid w:val="00D3650F"/>
    <w:rsid w:val="00D36E92"/>
    <w:rsid w:val="00D40650"/>
    <w:rsid w:val="00D43EB8"/>
    <w:rsid w:val="00D4406A"/>
    <w:rsid w:val="00D449BD"/>
    <w:rsid w:val="00D449C2"/>
    <w:rsid w:val="00D44ABC"/>
    <w:rsid w:val="00D44B25"/>
    <w:rsid w:val="00D4563E"/>
    <w:rsid w:val="00D51B96"/>
    <w:rsid w:val="00D520BC"/>
    <w:rsid w:val="00D52E90"/>
    <w:rsid w:val="00D54521"/>
    <w:rsid w:val="00D54F96"/>
    <w:rsid w:val="00D56BB9"/>
    <w:rsid w:val="00D56D15"/>
    <w:rsid w:val="00D56D9B"/>
    <w:rsid w:val="00D5779C"/>
    <w:rsid w:val="00D60531"/>
    <w:rsid w:val="00D60AAF"/>
    <w:rsid w:val="00D63A17"/>
    <w:rsid w:val="00D63AB5"/>
    <w:rsid w:val="00D64968"/>
    <w:rsid w:val="00D655C9"/>
    <w:rsid w:val="00D66324"/>
    <w:rsid w:val="00D701DD"/>
    <w:rsid w:val="00D70B2A"/>
    <w:rsid w:val="00D71667"/>
    <w:rsid w:val="00D74E4F"/>
    <w:rsid w:val="00D75405"/>
    <w:rsid w:val="00D761C3"/>
    <w:rsid w:val="00D77DC7"/>
    <w:rsid w:val="00D80073"/>
    <w:rsid w:val="00D80270"/>
    <w:rsid w:val="00D81292"/>
    <w:rsid w:val="00D817B4"/>
    <w:rsid w:val="00D81D2A"/>
    <w:rsid w:val="00D83DDC"/>
    <w:rsid w:val="00D84C10"/>
    <w:rsid w:val="00D85287"/>
    <w:rsid w:val="00D870CF"/>
    <w:rsid w:val="00D9096C"/>
    <w:rsid w:val="00D90F41"/>
    <w:rsid w:val="00D912D8"/>
    <w:rsid w:val="00D91A12"/>
    <w:rsid w:val="00D926AF"/>
    <w:rsid w:val="00D92B8F"/>
    <w:rsid w:val="00D93889"/>
    <w:rsid w:val="00D93D4A"/>
    <w:rsid w:val="00D95E9E"/>
    <w:rsid w:val="00D95F3D"/>
    <w:rsid w:val="00D96292"/>
    <w:rsid w:val="00D97B68"/>
    <w:rsid w:val="00D97C8B"/>
    <w:rsid w:val="00DA0C01"/>
    <w:rsid w:val="00DA143E"/>
    <w:rsid w:val="00DA25A3"/>
    <w:rsid w:val="00DA3E6A"/>
    <w:rsid w:val="00DA41AA"/>
    <w:rsid w:val="00DA46F2"/>
    <w:rsid w:val="00DA5930"/>
    <w:rsid w:val="00DA60A5"/>
    <w:rsid w:val="00DA65C1"/>
    <w:rsid w:val="00DA6FDF"/>
    <w:rsid w:val="00DA7326"/>
    <w:rsid w:val="00DA74E1"/>
    <w:rsid w:val="00DB007F"/>
    <w:rsid w:val="00DB0143"/>
    <w:rsid w:val="00DB0850"/>
    <w:rsid w:val="00DB0969"/>
    <w:rsid w:val="00DB0A47"/>
    <w:rsid w:val="00DB4DB8"/>
    <w:rsid w:val="00DB6379"/>
    <w:rsid w:val="00DB63C4"/>
    <w:rsid w:val="00DB6F72"/>
    <w:rsid w:val="00DB749C"/>
    <w:rsid w:val="00DC11D6"/>
    <w:rsid w:val="00DC1722"/>
    <w:rsid w:val="00DC2326"/>
    <w:rsid w:val="00DC3186"/>
    <w:rsid w:val="00DC5BF5"/>
    <w:rsid w:val="00DC6569"/>
    <w:rsid w:val="00DC74F0"/>
    <w:rsid w:val="00DC7A32"/>
    <w:rsid w:val="00DD033A"/>
    <w:rsid w:val="00DD0A48"/>
    <w:rsid w:val="00DD0D4A"/>
    <w:rsid w:val="00DD223B"/>
    <w:rsid w:val="00DD25DB"/>
    <w:rsid w:val="00DD2B56"/>
    <w:rsid w:val="00DD3A47"/>
    <w:rsid w:val="00DD5308"/>
    <w:rsid w:val="00DD56B9"/>
    <w:rsid w:val="00DD598D"/>
    <w:rsid w:val="00DD64B3"/>
    <w:rsid w:val="00DD6500"/>
    <w:rsid w:val="00DD6AD2"/>
    <w:rsid w:val="00DD7E3F"/>
    <w:rsid w:val="00DE0320"/>
    <w:rsid w:val="00DE0BDD"/>
    <w:rsid w:val="00DE1216"/>
    <w:rsid w:val="00DE2245"/>
    <w:rsid w:val="00DE2535"/>
    <w:rsid w:val="00DE317A"/>
    <w:rsid w:val="00DE3B1B"/>
    <w:rsid w:val="00DE6081"/>
    <w:rsid w:val="00DE62F2"/>
    <w:rsid w:val="00DE64AE"/>
    <w:rsid w:val="00DE6A91"/>
    <w:rsid w:val="00DE7484"/>
    <w:rsid w:val="00DF2851"/>
    <w:rsid w:val="00DF2BED"/>
    <w:rsid w:val="00DF4CAD"/>
    <w:rsid w:val="00DF53B3"/>
    <w:rsid w:val="00DF56C2"/>
    <w:rsid w:val="00DF5AA0"/>
    <w:rsid w:val="00DF71FB"/>
    <w:rsid w:val="00E000D6"/>
    <w:rsid w:val="00E001D1"/>
    <w:rsid w:val="00E020F8"/>
    <w:rsid w:val="00E02A30"/>
    <w:rsid w:val="00E04D74"/>
    <w:rsid w:val="00E0670B"/>
    <w:rsid w:val="00E0671B"/>
    <w:rsid w:val="00E0712A"/>
    <w:rsid w:val="00E07BF3"/>
    <w:rsid w:val="00E07FF7"/>
    <w:rsid w:val="00E11BDA"/>
    <w:rsid w:val="00E12194"/>
    <w:rsid w:val="00E12AA1"/>
    <w:rsid w:val="00E12D24"/>
    <w:rsid w:val="00E12EC4"/>
    <w:rsid w:val="00E13039"/>
    <w:rsid w:val="00E13CB7"/>
    <w:rsid w:val="00E14772"/>
    <w:rsid w:val="00E14DB8"/>
    <w:rsid w:val="00E154CA"/>
    <w:rsid w:val="00E16750"/>
    <w:rsid w:val="00E16BE3"/>
    <w:rsid w:val="00E174FA"/>
    <w:rsid w:val="00E175D7"/>
    <w:rsid w:val="00E2183C"/>
    <w:rsid w:val="00E22C16"/>
    <w:rsid w:val="00E23CA9"/>
    <w:rsid w:val="00E247A1"/>
    <w:rsid w:val="00E24CF7"/>
    <w:rsid w:val="00E24ED0"/>
    <w:rsid w:val="00E25910"/>
    <w:rsid w:val="00E26434"/>
    <w:rsid w:val="00E26FE2"/>
    <w:rsid w:val="00E26FF1"/>
    <w:rsid w:val="00E30500"/>
    <w:rsid w:val="00E31431"/>
    <w:rsid w:val="00E322A2"/>
    <w:rsid w:val="00E32B5B"/>
    <w:rsid w:val="00E33395"/>
    <w:rsid w:val="00E33735"/>
    <w:rsid w:val="00E33DC7"/>
    <w:rsid w:val="00E34055"/>
    <w:rsid w:val="00E34C09"/>
    <w:rsid w:val="00E353F8"/>
    <w:rsid w:val="00E35C22"/>
    <w:rsid w:val="00E35EA9"/>
    <w:rsid w:val="00E36351"/>
    <w:rsid w:val="00E3689C"/>
    <w:rsid w:val="00E36F06"/>
    <w:rsid w:val="00E37CCF"/>
    <w:rsid w:val="00E42157"/>
    <w:rsid w:val="00E42658"/>
    <w:rsid w:val="00E43DAA"/>
    <w:rsid w:val="00E44752"/>
    <w:rsid w:val="00E45477"/>
    <w:rsid w:val="00E45894"/>
    <w:rsid w:val="00E4594F"/>
    <w:rsid w:val="00E50C3F"/>
    <w:rsid w:val="00E535C2"/>
    <w:rsid w:val="00E53AFD"/>
    <w:rsid w:val="00E54E60"/>
    <w:rsid w:val="00E5554B"/>
    <w:rsid w:val="00E563BC"/>
    <w:rsid w:val="00E56BAA"/>
    <w:rsid w:val="00E57767"/>
    <w:rsid w:val="00E57937"/>
    <w:rsid w:val="00E609C0"/>
    <w:rsid w:val="00E634F3"/>
    <w:rsid w:val="00E64F5C"/>
    <w:rsid w:val="00E65BE8"/>
    <w:rsid w:val="00E65E66"/>
    <w:rsid w:val="00E665A4"/>
    <w:rsid w:val="00E66CC7"/>
    <w:rsid w:val="00E6747E"/>
    <w:rsid w:val="00E67C16"/>
    <w:rsid w:val="00E700B2"/>
    <w:rsid w:val="00E70192"/>
    <w:rsid w:val="00E71234"/>
    <w:rsid w:val="00E71267"/>
    <w:rsid w:val="00E71CE7"/>
    <w:rsid w:val="00E723A5"/>
    <w:rsid w:val="00E730D1"/>
    <w:rsid w:val="00E73FDD"/>
    <w:rsid w:val="00E77841"/>
    <w:rsid w:val="00E80181"/>
    <w:rsid w:val="00E82669"/>
    <w:rsid w:val="00E8305A"/>
    <w:rsid w:val="00E841C9"/>
    <w:rsid w:val="00E85159"/>
    <w:rsid w:val="00E866A8"/>
    <w:rsid w:val="00E86948"/>
    <w:rsid w:val="00E90554"/>
    <w:rsid w:val="00E949B1"/>
    <w:rsid w:val="00E94A39"/>
    <w:rsid w:val="00E953F6"/>
    <w:rsid w:val="00E9652E"/>
    <w:rsid w:val="00E96B56"/>
    <w:rsid w:val="00EA1828"/>
    <w:rsid w:val="00EA26D3"/>
    <w:rsid w:val="00EA335A"/>
    <w:rsid w:val="00EA413B"/>
    <w:rsid w:val="00EA4424"/>
    <w:rsid w:val="00EA4BFB"/>
    <w:rsid w:val="00EA4FA6"/>
    <w:rsid w:val="00EA54B1"/>
    <w:rsid w:val="00EA6D00"/>
    <w:rsid w:val="00EA7C59"/>
    <w:rsid w:val="00EB0EF2"/>
    <w:rsid w:val="00EB27AD"/>
    <w:rsid w:val="00EB2B82"/>
    <w:rsid w:val="00EB4450"/>
    <w:rsid w:val="00EB4760"/>
    <w:rsid w:val="00EB4A03"/>
    <w:rsid w:val="00EB4AD0"/>
    <w:rsid w:val="00EB4FC4"/>
    <w:rsid w:val="00EB50C4"/>
    <w:rsid w:val="00EB5375"/>
    <w:rsid w:val="00EB54C7"/>
    <w:rsid w:val="00EB67A6"/>
    <w:rsid w:val="00EB6E6C"/>
    <w:rsid w:val="00EC0991"/>
    <w:rsid w:val="00EC09CE"/>
    <w:rsid w:val="00EC0A1D"/>
    <w:rsid w:val="00EC1E6F"/>
    <w:rsid w:val="00EC226C"/>
    <w:rsid w:val="00EC4BC7"/>
    <w:rsid w:val="00EC5A1D"/>
    <w:rsid w:val="00EC64B3"/>
    <w:rsid w:val="00ED097F"/>
    <w:rsid w:val="00ED0E0E"/>
    <w:rsid w:val="00ED190B"/>
    <w:rsid w:val="00ED1C10"/>
    <w:rsid w:val="00ED3A0B"/>
    <w:rsid w:val="00ED663A"/>
    <w:rsid w:val="00ED690C"/>
    <w:rsid w:val="00ED69E3"/>
    <w:rsid w:val="00ED6C43"/>
    <w:rsid w:val="00ED6C71"/>
    <w:rsid w:val="00ED6E60"/>
    <w:rsid w:val="00ED7591"/>
    <w:rsid w:val="00ED7E73"/>
    <w:rsid w:val="00EE027B"/>
    <w:rsid w:val="00EE1C01"/>
    <w:rsid w:val="00EE2C03"/>
    <w:rsid w:val="00EE3522"/>
    <w:rsid w:val="00EE37F3"/>
    <w:rsid w:val="00EE502E"/>
    <w:rsid w:val="00EE54B3"/>
    <w:rsid w:val="00EE5A37"/>
    <w:rsid w:val="00EE6924"/>
    <w:rsid w:val="00EE7E36"/>
    <w:rsid w:val="00EF0495"/>
    <w:rsid w:val="00EF2180"/>
    <w:rsid w:val="00EF2971"/>
    <w:rsid w:val="00EF401D"/>
    <w:rsid w:val="00EF4F96"/>
    <w:rsid w:val="00EF5354"/>
    <w:rsid w:val="00EF6853"/>
    <w:rsid w:val="00EF68AF"/>
    <w:rsid w:val="00EF7AEA"/>
    <w:rsid w:val="00EF7CC7"/>
    <w:rsid w:val="00F00A05"/>
    <w:rsid w:val="00F01E37"/>
    <w:rsid w:val="00F037C1"/>
    <w:rsid w:val="00F03E08"/>
    <w:rsid w:val="00F03F01"/>
    <w:rsid w:val="00F05989"/>
    <w:rsid w:val="00F05D3C"/>
    <w:rsid w:val="00F07340"/>
    <w:rsid w:val="00F07793"/>
    <w:rsid w:val="00F07BE3"/>
    <w:rsid w:val="00F1307E"/>
    <w:rsid w:val="00F16ACB"/>
    <w:rsid w:val="00F16B4F"/>
    <w:rsid w:val="00F21897"/>
    <w:rsid w:val="00F22244"/>
    <w:rsid w:val="00F2263E"/>
    <w:rsid w:val="00F228AD"/>
    <w:rsid w:val="00F22CAB"/>
    <w:rsid w:val="00F22E10"/>
    <w:rsid w:val="00F22EEC"/>
    <w:rsid w:val="00F246ED"/>
    <w:rsid w:val="00F24921"/>
    <w:rsid w:val="00F257D8"/>
    <w:rsid w:val="00F25B8E"/>
    <w:rsid w:val="00F26542"/>
    <w:rsid w:val="00F3013E"/>
    <w:rsid w:val="00F304D2"/>
    <w:rsid w:val="00F3098D"/>
    <w:rsid w:val="00F318B0"/>
    <w:rsid w:val="00F322C2"/>
    <w:rsid w:val="00F32D8B"/>
    <w:rsid w:val="00F351F8"/>
    <w:rsid w:val="00F356B1"/>
    <w:rsid w:val="00F3651E"/>
    <w:rsid w:val="00F36EC4"/>
    <w:rsid w:val="00F372E3"/>
    <w:rsid w:val="00F37E4C"/>
    <w:rsid w:val="00F4021C"/>
    <w:rsid w:val="00F4277E"/>
    <w:rsid w:val="00F4409B"/>
    <w:rsid w:val="00F44BCB"/>
    <w:rsid w:val="00F46FE8"/>
    <w:rsid w:val="00F472AA"/>
    <w:rsid w:val="00F504C3"/>
    <w:rsid w:val="00F50C89"/>
    <w:rsid w:val="00F51B3B"/>
    <w:rsid w:val="00F51FE1"/>
    <w:rsid w:val="00F52C09"/>
    <w:rsid w:val="00F55E8E"/>
    <w:rsid w:val="00F55EEE"/>
    <w:rsid w:val="00F57802"/>
    <w:rsid w:val="00F57A70"/>
    <w:rsid w:val="00F610CE"/>
    <w:rsid w:val="00F613F7"/>
    <w:rsid w:val="00F62C7F"/>
    <w:rsid w:val="00F63DEC"/>
    <w:rsid w:val="00F660A1"/>
    <w:rsid w:val="00F66B25"/>
    <w:rsid w:val="00F6721D"/>
    <w:rsid w:val="00F73869"/>
    <w:rsid w:val="00F77749"/>
    <w:rsid w:val="00F805AE"/>
    <w:rsid w:val="00F81BD4"/>
    <w:rsid w:val="00F844CF"/>
    <w:rsid w:val="00F850B1"/>
    <w:rsid w:val="00F87208"/>
    <w:rsid w:val="00F90BBD"/>
    <w:rsid w:val="00F91DC9"/>
    <w:rsid w:val="00F9288D"/>
    <w:rsid w:val="00F92EDD"/>
    <w:rsid w:val="00F9375A"/>
    <w:rsid w:val="00F93B0A"/>
    <w:rsid w:val="00F94895"/>
    <w:rsid w:val="00F948BF"/>
    <w:rsid w:val="00F94A99"/>
    <w:rsid w:val="00F95AAE"/>
    <w:rsid w:val="00F96285"/>
    <w:rsid w:val="00FA057D"/>
    <w:rsid w:val="00FA0CD5"/>
    <w:rsid w:val="00FA163F"/>
    <w:rsid w:val="00FA31C4"/>
    <w:rsid w:val="00FA47AA"/>
    <w:rsid w:val="00FA6BE0"/>
    <w:rsid w:val="00FA7706"/>
    <w:rsid w:val="00FB03D3"/>
    <w:rsid w:val="00FB1469"/>
    <w:rsid w:val="00FB2AB7"/>
    <w:rsid w:val="00FB330C"/>
    <w:rsid w:val="00FB3D24"/>
    <w:rsid w:val="00FB4417"/>
    <w:rsid w:val="00FB62E4"/>
    <w:rsid w:val="00FB6DF9"/>
    <w:rsid w:val="00FC121A"/>
    <w:rsid w:val="00FC196B"/>
    <w:rsid w:val="00FC1C89"/>
    <w:rsid w:val="00FC3621"/>
    <w:rsid w:val="00FC5394"/>
    <w:rsid w:val="00FC651F"/>
    <w:rsid w:val="00FC6F81"/>
    <w:rsid w:val="00FC7EAA"/>
    <w:rsid w:val="00FD0367"/>
    <w:rsid w:val="00FD2E3E"/>
    <w:rsid w:val="00FD5037"/>
    <w:rsid w:val="00FD5123"/>
    <w:rsid w:val="00FD64BB"/>
    <w:rsid w:val="00FD6C68"/>
    <w:rsid w:val="00FD6F11"/>
    <w:rsid w:val="00FE0873"/>
    <w:rsid w:val="00FE1190"/>
    <w:rsid w:val="00FE132C"/>
    <w:rsid w:val="00FE1EE6"/>
    <w:rsid w:val="00FE3AA5"/>
    <w:rsid w:val="00FE3E05"/>
    <w:rsid w:val="00FE40CA"/>
    <w:rsid w:val="00FE4ADA"/>
    <w:rsid w:val="00FE517C"/>
    <w:rsid w:val="00FE51EF"/>
    <w:rsid w:val="00FE5F66"/>
    <w:rsid w:val="00FE601F"/>
    <w:rsid w:val="00FE62D6"/>
    <w:rsid w:val="00FE78A2"/>
    <w:rsid w:val="00FF0258"/>
    <w:rsid w:val="00FF0DBB"/>
    <w:rsid w:val="00FF1453"/>
    <w:rsid w:val="00FF4BD3"/>
    <w:rsid w:val="00FF6E9E"/>
    <w:rsid w:val="00FF7AB9"/>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link w:val="MitigationtitleChar"/>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ableBullet2">
    <w:name w:val="Table Bullet 2"/>
    <w:basedOn w:val="TableBullet1"/>
    <w:qFormat/>
    <w:rsid w:val="00E42658"/>
    <w:pPr>
      <w:numPr>
        <w:numId w:val="7"/>
      </w:numPr>
      <w:ind w:left="374" w:hanging="187"/>
    </w:pPr>
  </w:style>
  <w:style w:type="paragraph" w:customStyle="1" w:styleId="MMBullet3">
    <w:name w:val="MM Bullet 3"/>
    <w:basedOn w:val="BodyText"/>
    <w:qFormat/>
    <w:rsid w:val="00E42658"/>
    <w:pPr>
      <w:numPr>
        <w:numId w:val="8"/>
      </w:numPr>
    </w:p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paragraph" w:styleId="NoSpacing">
    <w:name w:val="No Spacing"/>
    <w:uiPriority w:val="1"/>
    <w:qFormat/>
    <w:rsid w:val="00BA6D2F"/>
    <w:pPr>
      <w:spacing w:after="0" w:line="240" w:lineRule="auto"/>
    </w:pPr>
    <w:rPr>
      <w:rFonts w:ascii="Segoe UI Semilight" w:hAnsi="Segoe UI Semilight"/>
      <w:sz w:val="20"/>
    </w:rPr>
  </w:style>
  <w:style w:type="character" w:customStyle="1" w:styleId="Bullet1Char">
    <w:name w:val="Bullet 1 Char"/>
    <w:basedOn w:val="DefaultParagraphFont"/>
    <w:link w:val="Bullet1"/>
    <w:locked/>
    <w:rsid w:val="005E6B1E"/>
    <w:rPr>
      <w:rFonts w:ascii="Segoe UI Semilight" w:hAnsi="Segoe UI Semilight"/>
      <w:bCs/>
      <w:sz w:val="20"/>
    </w:rPr>
  </w:style>
  <w:style w:type="character" w:customStyle="1" w:styleId="MitigationtitleChar">
    <w:name w:val="Mitigation title Char"/>
    <w:basedOn w:val="DefaultParagraphFont"/>
    <w:link w:val="Mitigationtitle"/>
    <w:locked/>
    <w:rsid w:val="008F759F"/>
    <w:rPr>
      <w:rFonts w:ascii="Segoe UI Semilight" w:eastAsia="Calibri" w:hAnsi="Segoe UI Semilight"/>
      <w:b/>
      <w:w w:val="90"/>
      <w:szCs w:val="26"/>
    </w:rPr>
  </w:style>
  <w:style w:type="paragraph" w:customStyle="1" w:styleId="Default">
    <w:name w:val="Default"/>
    <w:rsid w:val="00D909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9096C"/>
    <w:rPr>
      <w:color w:val="605E5C"/>
      <w:shd w:val="clear" w:color="auto" w:fill="E1DFDD"/>
    </w:rPr>
  </w:style>
  <w:style w:type="paragraph" w:styleId="BalloonText">
    <w:name w:val="Balloon Text"/>
    <w:basedOn w:val="Normal"/>
    <w:link w:val="BalloonTextChar"/>
    <w:uiPriority w:val="99"/>
    <w:semiHidden/>
    <w:unhideWhenUsed/>
    <w:rsid w:val="0081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734">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197551757">
      <w:bodyDiv w:val="1"/>
      <w:marLeft w:val="0"/>
      <w:marRight w:val="0"/>
      <w:marTop w:val="0"/>
      <w:marBottom w:val="0"/>
      <w:divBdr>
        <w:top w:val="none" w:sz="0" w:space="0" w:color="auto"/>
        <w:left w:val="none" w:sz="0" w:space="0" w:color="auto"/>
        <w:bottom w:val="none" w:sz="0" w:space="0" w:color="auto"/>
        <w:right w:val="none" w:sz="0" w:space="0" w:color="auto"/>
      </w:divBdr>
    </w:div>
    <w:div w:id="212159160">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31964066">
      <w:bodyDiv w:val="1"/>
      <w:marLeft w:val="0"/>
      <w:marRight w:val="0"/>
      <w:marTop w:val="0"/>
      <w:marBottom w:val="0"/>
      <w:divBdr>
        <w:top w:val="none" w:sz="0" w:space="0" w:color="auto"/>
        <w:left w:val="none" w:sz="0" w:space="0" w:color="auto"/>
        <w:bottom w:val="none" w:sz="0" w:space="0" w:color="auto"/>
        <w:right w:val="none" w:sz="0" w:space="0" w:color="auto"/>
      </w:divBdr>
    </w:div>
    <w:div w:id="711807621">
      <w:bodyDiv w:val="1"/>
      <w:marLeft w:val="0"/>
      <w:marRight w:val="0"/>
      <w:marTop w:val="0"/>
      <w:marBottom w:val="0"/>
      <w:divBdr>
        <w:top w:val="none" w:sz="0" w:space="0" w:color="auto"/>
        <w:left w:val="none" w:sz="0" w:space="0" w:color="auto"/>
        <w:bottom w:val="none" w:sz="0" w:space="0" w:color="auto"/>
        <w:right w:val="none" w:sz="0" w:space="0" w:color="auto"/>
      </w:divBdr>
    </w:div>
    <w:div w:id="1213420827">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57314">
      <w:bodyDiv w:val="1"/>
      <w:marLeft w:val="0"/>
      <w:marRight w:val="0"/>
      <w:marTop w:val="0"/>
      <w:marBottom w:val="0"/>
      <w:divBdr>
        <w:top w:val="none" w:sz="0" w:space="0" w:color="auto"/>
        <w:left w:val="none" w:sz="0" w:space="0" w:color="auto"/>
        <w:bottom w:val="none" w:sz="0" w:space="0" w:color="auto"/>
        <w:right w:val="none" w:sz="0" w:space="0" w:color="auto"/>
      </w:divBdr>
    </w:div>
    <w:div w:id="1307396614">
      <w:bodyDiv w:val="1"/>
      <w:marLeft w:val="0"/>
      <w:marRight w:val="0"/>
      <w:marTop w:val="0"/>
      <w:marBottom w:val="0"/>
      <w:divBdr>
        <w:top w:val="none" w:sz="0" w:space="0" w:color="auto"/>
        <w:left w:val="none" w:sz="0" w:space="0" w:color="auto"/>
        <w:bottom w:val="none" w:sz="0" w:space="0" w:color="auto"/>
        <w:right w:val="none" w:sz="0" w:space="0" w:color="auto"/>
      </w:divBdr>
    </w:div>
    <w:div w:id="1323317327">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65928900">
      <w:bodyDiv w:val="1"/>
      <w:marLeft w:val="0"/>
      <w:marRight w:val="0"/>
      <w:marTop w:val="0"/>
      <w:marBottom w:val="0"/>
      <w:divBdr>
        <w:top w:val="none" w:sz="0" w:space="0" w:color="auto"/>
        <w:left w:val="none" w:sz="0" w:space="0" w:color="auto"/>
        <w:bottom w:val="none" w:sz="0" w:space="0" w:color="auto"/>
        <w:right w:val="none" w:sz="0" w:space="0" w:color="auto"/>
      </w:divBdr>
    </w:div>
    <w:div w:id="1471367306">
      <w:bodyDiv w:val="1"/>
      <w:marLeft w:val="0"/>
      <w:marRight w:val="0"/>
      <w:marTop w:val="0"/>
      <w:marBottom w:val="0"/>
      <w:divBdr>
        <w:top w:val="none" w:sz="0" w:space="0" w:color="auto"/>
        <w:left w:val="none" w:sz="0" w:space="0" w:color="auto"/>
        <w:bottom w:val="none" w:sz="0" w:space="0" w:color="auto"/>
        <w:right w:val="none" w:sz="0" w:space="0" w:color="auto"/>
      </w:divBdr>
    </w:div>
    <w:div w:id="1512646270">
      <w:bodyDiv w:val="1"/>
      <w:marLeft w:val="0"/>
      <w:marRight w:val="0"/>
      <w:marTop w:val="0"/>
      <w:marBottom w:val="0"/>
      <w:divBdr>
        <w:top w:val="none" w:sz="0" w:space="0" w:color="auto"/>
        <w:left w:val="none" w:sz="0" w:space="0" w:color="auto"/>
        <w:bottom w:val="none" w:sz="0" w:space="0" w:color="auto"/>
        <w:right w:val="none" w:sz="0" w:space="0" w:color="auto"/>
      </w:divBdr>
    </w:div>
    <w:div w:id="1592818317">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766457877">
      <w:bodyDiv w:val="1"/>
      <w:marLeft w:val="0"/>
      <w:marRight w:val="0"/>
      <w:marTop w:val="0"/>
      <w:marBottom w:val="0"/>
      <w:divBdr>
        <w:top w:val="none" w:sz="0" w:space="0" w:color="auto"/>
        <w:left w:val="none" w:sz="0" w:space="0" w:color="auto"/>
        <w:bottom w:val="none" w:sz="0" w:space="0" w:color="auto"/>
        <w:right w:val="none" w:sz="0" w:space="0" w:color="auto"/>
      </w:divBdr>
    </w:div>
    <w:div w:id="1808353552">
      <w:bodyDiv w:val="1"/>
      <w:marLeft w:val="0"/>
      <w:marRight w:val="0"/>
      <w:marTop w:val="0"/>
      <w:marBottom w:val="0"/>
      <w:divBdr>
        <w:top w:val="none" w:sz="0" w:space="0" w:color="auto"/>
        <w:left w:val="none" w:sz="0" w:space="0" w:color="auto"/>
        <w:bottom w:val="none" w:sz="0" w:space="0" w:color="auto"/>
        <w:right w:val="none" w:sz="0" w:space="0" w:color="auto"/>
      </w:divBdr>
      <w:divsChild>
        <w:div w:id="1758089394">
          <w:marLeft w:val="0"/>
          <w:marRight w:val="0"/>
          <w:marTop w:val="0"/>
          <w:marBottom w:val="0"/>
          <w:divBdr>
            <w:top w:val="none" w:sz="0" w:space="0" w:color="auto"/>
            <w:left w:val="none" w:sz="0" w:space="0" w:color="auto"/>
            <w:bottom w:val="none" w:sz="0" w:space="0" w:color="auto"/>
            <w:right w:val="none" w:sz="0" w:space="0" w:color="auto"/>
          </w:divBdr>
          <w:divsChild>
            <w:div w:id="162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873810462">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2023510348">
      <w:bodyDiv w:val="1"/>
      <w:marLeft w:val="0"/>
      <w:marRight w:val="0"/>
      <w:marTop w:val="0"/>
      <w:marBottom w:val="0"/>
      <w:divBdr>
        <w:top w:val="none" w:sz="0" w:space="0" w:color="auto"/>
        <w:left w:val="none" w:sz="0" w:space="0" w:color="auto"/>
        <w:bottom w:val="none" w:sz="0" w:space="0" w:color="auto"/>
        <w:right w:val="none" w:sz="0" w:space="0" w:color="auto"/>
      </w:divBdr>
    </w:div>
    <w:div w:id="2071537782">
      <w:bodyDiv w:val="1"/>
      <w:marLeft w:val="0"/>
      <w:marRight w:val="0"/>
      <w:marTop w:val="0"/>
      <w:marBottom w:val="0"/>
      <w:divBdr>
        <w:top w:val="none" w:sz="0" w:space="0" w:color="auto"/>
        <w:left w:val="none" w:sz="0" w:space="0" w:color="auto"/>
        <w:bottom w:val="none" w:sz="0" w:space="0" w:color="auto"/>
        <w:right w:val="none" w:sz="0" w:space="0" w:color="auto"/>
      </w:divBdr>
    </w:div>
    <w:div w:id="2072456804">
      <w:bodyDiv w:val="1"/>
      <w:marLeft w:val="0"/>
      <w:marRight w:val="0"/>
      <w:marTop w:val="0"/>
      <w:marBottom w:val="0"/>
      <w:divBdr>
        <w:top w:val="none" w:sz="0" w:space="0" w:color="auto"/>
        <w:left w:val="none" w:sz="0" w:space="0" w:color="auto"/>
        <w:bottom w:val="none" w:sz="0" w:space="0" w:color="auto"/>
        <w:right w:val="none" w:sz="0" w:space="0" w:color="auto"/>
      </w:divBdr>
    </w:div>
    <w:div w:id="2074234092">
      <w:bodyDiv w:val="1"/>
      <w:marLeft w:val="0"/>
      <w:marRight w:val="0"/>
      <w:marTop w:val="0"/>
      <w:marBottom w:val="0"/>
      <w:divBdr>
        <w:top w:val="none" w:sz="0" w:space="0" w:color="auto"/>
        <w:left w:val="none" w:sz="0" w:space="0" w:color="auto"/>
        <w:bottom w:val="none" w:sz="0" w:space="0" w:color="auto"/>
        <w:right w:val="none" w:sz="0" w:space="0" w:color="auto"/>
      </w:divBdr>
    </w:div>
    <w:div w:id="21007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92C1-FFDE-4840-9C74-4706D8C0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7674</Words>
  <Characters>43748</Characters>
  <Application>Microsoft Office Word</Application>
  <DocSecurity>8</DocSecurity>
  <PresentationFormat/>
  <Lines>364</Lines>
  <Paragraphs>102</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2019-11-25T22:36:00Z</dcterms:created>
  <dcterms:modified xsi:type="dcterms:W3CDTF">2019-11-27T17:02:00Z</dcterms:modified>
</cp:coreProperties>
</file>