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05BE" w14:textId="77777777" w:rsidR="00A7315A" w:rsidRDefault="00A7315A" w:rsidP="00A7315A">
      <w:pPr>
        <w:rPr>
          <w:color w:val="FFFFFF" w:themeColor="background1"/>
        </w:rPr>
      </w:pPr>
      <w:bookmarkStart w:id="0" w:name="_Toc11755212"/>
      <w:bookmarkStart w:id="1" w:name="_GoBack"/>
      <w:bookmarkEnd w:id="1"/>
      <w:r>
        <w:rPr>
          <w:color w:val="FFFFFF" w:themeColor="background1"/>
        </w:rPr>
        <w:t>Please adjust your screen reader settings to recognize underline and strikethrough text.</w:t>
      </w:r>
    </w:p>
    <w:p w14:paraId="46062226" w14:textId="0D6A3E98" w:rsidR="00BE2039" w:rsidRDefault="00853F0D" w:rsidP="00853F0D">
      <w:pPr>
        <w:pStyle w:val="Heading2"/>
      </w:pPr>
      <w:r w:rsidRPr="00853F0D">
        <w:t>Land Use and Planning, Population and Housing</w:t>
      </w:r>
      <w:bookmarkEnd w:id="0"/>
    </w:p>
    <w:p w14:paraId="4FD3B025" w14:textId="6EAB71C9" w:rsidR="00676EE8" w:rsidRDefault="000C27FD" w:rsidP="009A76B2">
      <w:pPr>
        <w:pStyle w:val="BodyText"/>
      </w:pPr>
      <w:r w:rsidRPr="000C27FD">
        <w:t xml:space="preserve">This section describes the </w:t>
      </w:r>
      <w:r w:rsidR="00BF4BFF">
        <w:t xml:space="preserve">applicable land use policies and </w:t>
      </w:r>
      <w:r w:rsidRPr="000C27FD">
        <w:t xml:space="preserve">existing population and housing conditions in California, presents a description of applicable regulations, and analyzes whether possible changes in population and housing </w:t>
      </w:r>
      <w:r>
        <w:t xml:space="preserve">or land use effects </w:t>
      </w:r>
      <w:r w:rsidRPr="000C27FD">
        <w:t xml:space="preserve">could occur from the </w:t>
      </w:r>
      <w:r w:rsidR="00922121">
        <w:t>program implementation</w:t>
      </w:r>
      <w:r w:rsidRPr="000C27FD">
        <w:t>.</w:t>
      </w:r>
      <w:r w:rsidR="007D5716">
        <w:t xml:space="preserve"> </w:t>
      </w:r>
      <w:r w:rsidR="00676EE8">
        <w:t xml:space="preserve">Information used in this section was obtained </w:t>
      </w:r>
      <w:r w:rsidR="00676EE8" w:rsidRPr="002B0305">
        <w:t>from</w:t>
      </w:r>
      <w:r w:rsidR="00676EE8">
        <w:t xml:space="preserve"> CAL FIRE, the California Department of Finance, and </w:t>
      </w:r>
      <w:r w:rsidR="001B50FC">
        <w:t xml:space="preserve">the California </w:t>
      </w:r>
      <w:r w:rsidR="00F4557E">
        <w:t>Employment Development Department</w:t>
      </w:r>
      <w:r w:rsidR="00676EE8" w:rsidRPr="002B0305">
        <w:t>.</w:t>
      </w:r>
    </w:p>
    <w:p w14:paraId="717684B2" w14:textId="7C96B3EF" w:rsidR="00445E36" w:rsidRDefault="00922121" w:rsidP="00922121">
      <w:pPr>
        <w:pStyle w:val="BodyText"/>
      </w:pPr>
      <w:r>
        <w:t xml:space="preserve">No comments received on the Notice of Preparation were related to </w:t>
      </w:r>
      <w:r w:rsidR="00DB363C">
        <w:t xml:space="preserve">land use and planning </w:t>
      </w:r>
      <w:r w:rsidR="00E03F39">
        <w:t xml:space="preserve">or </w:t>
      </w:r>
      <w:r w:rsidR="00DB363C">
        <w:t>population and housing</w:t>
      </w:r>
      <w:r>
        <w:t xml:space="preserve"> (see Appendix A).</w:t>
      </w:r>
    </w:p>
    <w:p w14:paraId="5F289792" w14:textId="6326F40E" w:rsidR="00DF2BED" w:rsidRDefault="00DF2BED" w:rsidP="00DF2BED">
      <w:pPr>
        <w:pStyle w:val="Heading3"/>
      </w:pPr>
      <w:r>
        <w:t>Environmental Setting</w:t>
      </w:r>
    </w:p>
    <w:p w14:paraId="5C468C80" w14:textId="6A661371" w:rsidR="0002391A" w:rsidRDefault="0002391A" w:rsidP="0002391A">
      <w:pPr>
        <w:pStyle w:val="Heading4"/>
      </w:pPr>
      <w:r>
        <w:t>Land Use and Planning</w:t>
      </w:r>
    </w:p>
    <w:p w14:paraId="635E4F55" w14:textId="0C8265AE" w:rsidR="00DD2C62" w:rsidRDefault="00B37005" w:rsidP="00BE6773">
      <w:pPr>
        <w:pStyle w:val="Heading5"/>
      </w:pPr>
      <w:r>
        <w:t>Land Ownership</w:t>
      </w:r>
    </w:p>
    <w:p w14:paraId="70E4AE98" w14:textId="1A9E2E42" w:rsidR="00DB08C2" w:rsidRDefault="00F15C11" w:rsidP="00BC56AC">
      <w:pPr>
        <w:pStyle w:val="BodyText"/>
      </w:pPr>
      <w:r>
        <w:t xml:space="preserve">Land ownership in the treatable landscape is highly varied </w:t>
      </w:r>
      <w:r w:rsidR="003E0326">
        <w:t xml:space="preserve">with </w:t>
      </w:r>
      <w:r w:rsidR="00F342DE">
        <w:t xml:space="preserve">types of </w:t>
      </w:r>
      <w:r w:rsidR="003E0326">
        <w:t>owners including</w:t>
      </w:r>
      <w:r w:rsidR="006343A6">
        <w:t xml:space="preserve"> </w:t>
      </w:r>
      <w:r w:rsidR="00FC5455">
        <w:t xml:space="preserve">private owners, </w:t>
      </w:r>
      <w:r w:rsidR="006108D9">
        <w:t xml:space="preserve">state agencies, special districts, </w:t>
      </w:r>
      <w:r w:rsidR="006343A6">
        <w:t xml:space="preserve">counties, </w:t>
      </w:r>
      <w:r w:rsidR="00FD6E27">
        <w:t xml:space="preserve">non-profit organizations, </w:t>
      </w:r>
      <w:r w:rsidR="001604D6">
        <w:t>and</w:t>
      </w:r>
      <w:r w:rsidR="006108D9">
        <w:t xml:space="preserve"> cities</w:t>
      </w:r>
      <w:r w:rsidR="00EA1496">
        <w:t>.</w:t>
      </w:r>
      <w:r w:rsidR="00FE70D9">
        <w:t xml:space="preserve"> </w:t>
      </w:r>
      <w:r w:rsidR="006C685B">
        <w:t xml:space="preserve">The amount of land owned by </w:t>
      </w:r>
      <w:r w:rsidR="00D300BE">
        <w:t>individual entities</w:t>
      </w:r>
      <w:r w:rsidR="006C685B">
        <w:t xml:space="preserve"> within the treatable landscape ranges from less than one acre to</w:t>
      </w:r>
      <w:r w:rsidR="00642948">
        <w:t xml:space="preserve"> </w:t>
      </w:r>
      <w:r w:rsidR="00DB08C2">
        <w:t xml:space="preserve">hundreds of thousands of acres. </w:t>
      </w:r>
      <w:r w:rsidR="00E618A1">
        <w:t>The majority of the land w</w:t>
      </w:r>
      <w:r w:rsidR="0025596F">
        <w:t>ithin the treatable landscape</w:t>
      </w:r>
      <w:r w:rsidR="00E618A1">
        <w:t xml:space="preserve"> is in private ownership</w:t>
      </w:r>
      <w:r w:rsidR="0025596F">
        <w:t>.</w:t>
      </w:r>
    </w:p>
    <w:p w14:paraId="25842723" w14:textId="77777777" w:rsidR="00505F44" w:rsidRDefault="00505F44" w:rsidP="002828FA">
      <w:pPr>
        <w:pStyle w:val="TableHeader"/>
      </w:pPr>
      <w:bookmarkStart w:id="2" w:name="_Toc23837150"/>
      <w:r>
        <w:t>Table 3.12-1</w:t>
      </w:r>
      <w:r>
        <w:tab/>
        <w:t>Land Ownership in the Treatable Landscape</w:t>
      </w:r>
      <w:bookmarkEnd w:id="2"/>
    </w:p>
    <w:tbl>
      <w:tblPr>
        <w:tblStyle w:val="TableGrid"/>
        <w:tblW w:w="10080" w:type="dxa"/>
        <w:jc w:val="center"/>
        <w:tblBorders>
          <w:top w:val="none" w:sz="0" w:space="0" w:color="auto"/>
          <w:left w:val="none" w:sz="0" w:space="0" w:color="auto"/>
          <w:bottom w:val="none" w:sz="0" w:space="0" w:color="auto"/>
          <w:right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3360"/>
        <w:gridCol w:w="3360"/>
        <w:gridCol w:w="3360"/>
      </w:tblGrid>
      <w:tr w:rsidR="00DE6D98" w:rsidRPr="00E57D40" w14:paraId="0C52636C" w14:textId="77777777" w:rsidTr="009A1356">
        <w:trPr>
          <w:tblHeader/>
          <w:jc w:val="center"/>
        </w:trPr>
        <w:tc>
          <w:tcPr>
            <w:tcW w:w="3360" w:type="dxa"/>
            <w:tcBorders>
              <w:top w:val="single" w:sz="4" w:space="0" w:color="auto"/>
              <w:bottom w:val="single" w:sz="4" w:space="0" w:color="auto"/>
            </w:tcBorders>
            <w:shd w:val="clear" w:color="auto" w:fill="D9D9D9" w:themeFill="background1" w:themeFillShade="D9"/>
            <w:vAlign w:val="center"/>
          </w:tcPr>
          <w:p w14:paraId="41350854" w14:textId="35C63715" w:rsidR="00DE6D98" w:rsidRPr="00E57D40" w:rsidRDefault="00DE6D98" w:rsidP="00E57D40">
            <w:pPr>
              <w:pStyle w:val="TableColumn"/>
            </w:pPr>
            <w:r w:rsidRPr="00E57D40">
              <w:t>Types of Owner</w:t>
            </w:r>
          </w:p>
        </w:tc>
        <w:tc>
          <w:tcPr>
            <w:tcW w:w="3360" w:type="dxa"/>
            <w:tcBorders>
              <w:top w:val="single" w:sz="4" w:space="0" w:color="auto"/>
              <w:bottom w:val="single" w:sz="4" w:space="0" w:color="auto"/>
            </w:tcBorders>
            <w:shd w:val="clear" w:color="auto" w:fill="D9D9D9" w:themeFill="background1" w:themeFillShade="D9"/>
            <w:vAlign w:val="center"/>
          </w:tcPr>
          <w:p w14:paraId="222B5127" w14:textId="77777777" w:rsidR="00DE6D98" w:rsidRPr="00E57D40" w:rsidRDefault="00DE6D98" w:rsidP="00E57D40">
            <w:pPr>
              <w:pStyle w:val="TableColumn"/>
            </w:pPr>
            <w:r w:rsidRPr="00E57D40">
              <w:t>Amount of Land (acres)</w:t>
            </w:r>
          </w:p>
        </w:tc>
        <w:tc>
          <w:tcPr>
            <w:tcW w:w="3360" w:type="dxa"/>
            <w:tcBorders>
              <w:top w:val="single" w:sz="4" w:space="0" w:color="auto"/>
              <w:bottom w:val="single" w:sz="4" w:space="0" w:color="auto"/>
            </w:tcBorders>
            <w:shd w:val="clear" w:color="auto" w:fill="D9D9D9" w:themeFill="background1" w:themeFillShade="D9"/>
            <w:vAlign w:val="center"/>
          </w:tcPr>
          <w:p w14:paraId="2A8D5DC0" w14:textId="6B0664DC" w:rsidR="00DE6D98" w:rsidRPr="00E57D40" w:rsidRDefault="00DE6D98" w:rsidP="00E57D40">
            <w:pPr>
              <w:pStyle w:val="TableColumn"/>
            </w:pPr>
            <w:r w:rsidRPr="00E57D40">
              <w:t>Proportion of the Treatable Landscape</w:t>
            </w:r>
          </w:p>
        </w:tc>
      </w:tr>
      <w:tr w:rsidR="008E0058" w14:paraId="688097F9" w14:textId="77777777" w:rsidTr="00505F44">
        <w:trPr>
          <w:jc w:val="center"/>
        </w:trPr>
        <w:tc>
          <w:tcPr>
            <w:tcW w:w="3360" w:type="dxa"/>
            <w:tcBorders>
              <w:top w:val="single" w:sz="4" w:space="0" w:color="auto"/>
            </w:tcBorders>
          </w:tcPr>
          <w:p w14:paraId="37127815" w14:textId="77777777" w:rsidR="008E0058" w:rsidRDefault="008E0058" w:rsidP="00C67C6C">
            <w:pPr>
              <w:pStyle w:val="TableText"/>
            </w:pPr>
            <w:r>
              <w:t>Private Owners</w:t>
            </w:r>
          </w:p>
        </w:tc>
        <w:tc>
          <w:tcPr>
            <w:tcW w:w="3360" w:type="dxa"/>
            <w:tcBorders>
              <w:top w:val="single" w:sz="4" w:space="0" w:color="auto"/>
            </w:tcBorders>
          </w:tcPr>
          <w:p w14:paraId="5A95845C" w14:textId="77777777" w:rsidR="008E0058" w:rsidRDefault="008E0058" w:rsidP="00C67C6C">
            <w:pPr>
              <w:pStyle w:val="TableText"/>
            </w:pPr>
            <w:r>
              <w:t>18,674,650</w:t>
            </w:r>
          </w:p>
        </w:tc>
        <w:tc>
          <w:tcPr>
            <w:tcW w:w="3360" w:type="dxa"/>
            <w:tcBorders>
              <w:top w:val="single" w:sz="4" w:space="0" w:color="auto"/>
            </w:tcBorders>
          </w:tcPr>
          <w:p w14:paraId="3503A93F" w14:textId="77777777" w:rsidR="008E0058" w:rsidRDefault="008E0058" w:rsidP="00C67C6C">
            <w:pPr>
              <w:pStyle w:val="TableText"/>
            </w:pPr>
            <w:r>
              <w:t>92%</w:t>
            </w:r>
          </w:p>
        </w:tc>
      </w:tr>
      <w:tr w:rsidR="008E0058" w14:paraId="47DED1B4" w14:textId="77777777" w:rsidTr="003E7BC1">
        <w:trPr>
          <w:jc w:val="center"/>
        </w:trPr>
        <w:tc>
          <w:tcPr>
            <w:tcW w:w="3360" w:type="dxa"/>
          </w:tcPr>
          <w:p w14:paraId="42FC50EE" w14:textId="77777777" w:rsidR="008E0058" w:rsidRDefault="008E0058" w:rsidP="00C67C6C">
            <w:pPr>
              <w:pStyle w:val="TableText"/>
            </w:pPr>
            <w:r>
              <w:t>State Agencies</w:t>
            </w:r>
          </w:p>
        </w:tc>
        <w:tc>
          <w:tcPr>
            <w:tcW w:w="3360" w:type="dxa"/>
          </w:tcPr>
          <w:p w14:paraId="64B98C81" w14:textId="77777777" w:rsidR="008E0058" w:rsidRDefault="008E0058" w:rsidP="00C67C6C">
            <w:pPr>
              <w:pStyle w:val="TableText"/>
            </w:pPr>
            <w:r>
              <w:t>805,950</w:t>
            </w:r>
          </w:p>
        </w:tc>
        <w:tc>
          <w:tcPr>
            <w:tcW w:w="3360" w:type="dxa"/>
          </w:tcPr>
          <w:p w14:paraId="3D502D18" w14:textId="77777777" w:rsidR="008E0058" w:rsidRDefault="008E0058" w:rsidP="00C67C6C">
            <w:pPr>
              <w:pStyle w:val="TableText"/>
            </w:pPr>
            <w:r>
              <w:t>4%</w:t>
            </w:r>
          </w:p>
        </w:tc>
      </w:tr>
      <w:tr w:rsidR="008E0058" w14:paraId="3A986CBE" w14:textId="77777777" w:rsidTr="003E7BC1">
        <w:trPr>
          <w:jc w:val="center"/>
        </w:trPr>
        <w:tc>
          <w:tcPr>
            <w:tcW w:w="3360" w:type="dxa"/>
          </w:tcPr>
          <w:p w14:paraId="649DCE52" w14:textId="77777777" w:rsidR="008E0058" w:rsidRDefault="008E0058" w:rsidP="00C67C6C">
            <w:pPr>
              <w:pStyle w:val="TableText"/>
            </w:pPr>
            <w:r>
              <w:t>Special Districts</w:t>
            </w:r>
          </w:p>
        </w:tc>
        <w:tc>
          <w:tcPr>
            <w:tcW w:w="3360" w:type="dxa"/>
          </w:tcPr>
          <w:p w14:paraId="15010399" w14:textId="77777777" w:rsidR="008E0058" w:rsidRDefault="008E0058" w:rsidP="00C67C6C">
            <w:pPr>
              <w:pStyle w:val="TableText"/>
            </w:pPr>
            <w:r>
              <w:t>255,340</w:t>
            </w:r>
          </w:p>
        </w:tc>
        <w:tc>
          <w:tcPr>
            <w:tcW w:w="3360" w:type="dxa"/>
          </w:tcPr>
          <w:p w14:paraId="62F3B5F5" w14:textId="77777777" w:rsidR="008E0058" w:rsidRDefault="008E0058" w:rsidP="00C67C6C">
            <w:pPr>
              <w:pStyle w:val="TableText"/>
            </w:pPr>
            <w:r>
              <w:t>1%</w:t>
            </w:r>
          </w:p>
        </w:tc>
      </w:tr>
      <w:tr w:rsidR="008E0058" w14:paraId="5F8FF80A" w14:textId="77777777" w:rsidTr="003E7BC1">
        <w:trPr>
          <w:jc w:val="center"/>
        </w:trPr>
        <w:tc>
          <w:tcPr>
            <w:tcW w:w="3360" w:type="dxa"/>
          </w:tcPr>
          <w:p w14:paraId="7AF1C695" w14:textId="77777777" w:rsidR="008E0058" w:rsidRDefault="008E0058" w:rsidP="00C67C6C">
            <w:pPr>
              <w:pStyle w:val="TableText"/>
            </w:pPr>
            <w:r>
              <w:t>Counties</w:t>
            </w:r>
          </w:p>
        </w:tc>
        <w:tc>
          <w:tcPr>
            <w:tcW w:w="3360" w:type="dxa"/>
          </w:tcPr>
          <w:p w14:paraId="285C390B" w14:textId="77777777" w:rsidR="008E0058" w:rsidRDefault="008E0058" w:rsidP="00C67C6C">
            <w:pPr>
              <w:pStyle w:val="TableText"/>
            </w:pPr>
            <w:r>
              <w:t>196,320</w:t>
            </w:r>
          </w:p>
        </w:tc>
        <w:tc>
          <w:tcPr>
            <w:tcW w:w="3360" w:type="dxa"/>
          </w:tcPr>
          <w:p w14:paraId="750518A9" w14:textId="77777777" w:rsidR="008E0058" w:rsidRDefault="008E0058" w:rsidP="00C67C6C">
            <w:pPr>
              <w:pStyle w:val="TableText"/>
            </w:pPr>
            <w:r>
              <w:t>1%</w:t>
            </w:r>
          </w:p>
        </w:tc>
      </w:tr>
      <w:tr w:rsidR="008E0058" w14:paraId="14C5D2DF" w14:textId="77777777" w:rsidTr="003E7BC1">
        <w:trPr>
          <w:jc w:val="center"/>
        </w:trPr>
        <w:tc>
          <w:tcPr>
            <w:tcW w:w="3360" w:type="dxa"/>
          </w:tcPr>
          <w:p w14:paraId="4C29AF25" w14:textId="77777777" w:rsidR="008E0058" w:rsidRDefault="008E0058" w:rsidP="00C67C6C">
            <w:pPr>
              <w:pStyle w:val="TableText"/>
            </w:pPr>
            <w:r>
              <w:t>Non-profit Organizations</w:t>
            </w:r>
          </w:p>
        </w:tc>
        <w:tc>
          <w:tcPr>
            <w:tcW w:w="3360" w:type="dxa"/>
          </w:tcPr>
          <w:p w14:paraId="7630F5F4" w14:textId="77777777" w:rsidR="008E0058" w:rsidRDefault="008E0058" w:rsidP="00C67C6C">
            <w:pPr>
              <w:pStyle w:val="TableText"/>
            </w:pPr>
            <w:r>
              <w:t>194,300</w:t>
            </w:r>
          </w:p>
        </w:tc>
        <w:tc>
          <w:tcPr>
            <w:tcW w:w="3360" w:type="dxa"/>
          </w:tcPr>
          <w:p w14:paraId="4F5897D6" w14:textId="77777777" w:rsidR="008E0058" w:rsidRDefault="008E0058" w:rsidP="00C67C6C">
            <w:pPr>
              <w:pStyle w:val="TableText"/>
            </w:pPr>
            <w:r>
              <w:t>1%</w:t>
            </w:r>
          </w:p>
        </w:tc>
      </w:tr>
      <w:tr w:rsidR="00DE6D98" w14:paraId="5A62A08F" w14:textId="77777777" w:rsidTr="00505F44">
        <w:trPr>
          <w:jc w:val="center"/>
        </w:trPr>
        <w:tc>
          <w:tcPr>
            <w:tcW w:w="3360" w:type="dxa"/>
            <w:tcBorders>
              <w:bottom w:val="single" w:sz="4" w:space="0" w:color="auto"/>
            </w:tcBorders>
          </w:tcPr>
          <w:p w14:paraId="4FBCE373" w14:textId="48B3E330" w:rsidR="00DE6D98" w:rsidRDefault="00DE6D98" w:rsidP="002828FA">
            <w:pPr>
              <w:pStyle w:val="TableText"/>
            </w:pPr>
            <w:r>
              <w:t>Cities</w:t>
            </w:r>
          </w:p>
        </w:tc>
        <w:tc>
          <w:tcPr>
            <w:tcW w:w="3360" w:type="dxa"/>
            <w:tcBorders>
              <w:bottom w:val="single" w:sz="4" w:space="0" w:color="auto"/>
            </w:tcBorders>
          </w:tcPr>
          <w:p w14:paraId="155C37C1" w14:textId="0DE3CE9C" w:rsidR="00DE6D98" w:rsidRDefault="00DE6D98" w:rsidP="002828FA">
            <w:pPr>
              <w:pStyle w:val="TableText"/>
            </w:pPr>
            <w:r>
              <w:t>173,44</w:t>
            </w:r>
            <w:r w:rsidR="000B021A">
              <w:t>0</w:t>
            </w:r>
          </w:p>
        </w:tc>
        <w:tc>
          <w:tcPr>
            <w:tcW w:w="3360" w:type="dxa"/>
            <w:tcBorders>
              <w:bottom w:val="single" w:sz="4" w:space="0" w:color="auto"/>
            </w:tcBorders>
          </w:tcPr>
          <w:p w14:paraId="1C6E9BFB" w14:textId="5427FC77" w:rsidR="00DE6D98" w:rsidRDefault="00F545A3" w:rsidP="002828FA">
            <w:pPr>
              <w:pStyle w:val="TableText"/>
            </w:pPr>
            <w:r>
              <w:t>1%</w:t>
            </w:r>
          </w:p>
        </w:tc>
      </w:tr>
      <w:tr w:rsidR="00DE6D98" w:rsidRPr="0055748B" w14:paraId="4E325627" w14:textId="77777777" w:rsidTr="00505F44">
        <w:trPr>
          <w:jc w:val="center"/>
        </w:trPr>
        <w:tc>
          <w:tcPr>
            <w:tcW w:w="3360" w:type="dxa"/>
            <w:tcBorders>
              <w:top w:val="single" w:sz="4" w:space="0" w:color="auto"/>
              <w:bottom w:val="single" w:sz="4" w:space="0" w:color="auto"/>
            </w:tcBorders>
          </w:tcPr>
          <w:p w14:paraId="607A124A" w14:textId="3F49974A" w:rsidR="00DE6D98" w:rsidRPr="0055748B" w:rsidRDefault="00DE6D98" w:rsidP="002828FA">
            <w:pPr>
              <w:pStyle w:val="TableText"/>
              <w:rPr>
                <w:b/>
              </w:rPr>
            </w:pPr>
            <w:r w:rsidRPr="0055748B">
              <w:rPr>
                <w:b/>
              </w:rPr>
              <w:t>Total Area</w:t>
            </w:r>
          </w:p>
        </w:tc>
        <w:tc>
          <w:tcPr>
            <w:tcW w:w="3360" w:type="dxa"/>
            <w:tcBorders>
              <w:top w:val="single" w:sz="4" w:space="0" w:color="auto"/>
              <w:bottom w:val="single" w:sz="4" w:space="0" w:color="auto"/>
            </w:tcBorders>
          </w:tcPr>
          <w:p w14:paraId="31733DA6" w14:textId="77777777" w:rsidR="00DE6D98" w:rsidRPr="0055748B" w:rsidRDefault="00DE6D98" w:rsidP="002828FA">
            <w:pPr>
              <w:pStyle w:val="TableText"/>
              <w:rPr>
                <w:b/>
              </w:rPr>
            </w:pPr>
            <w:r w:rsidRPr="0055748B">
              <w:rPr>
                <w:b/>
              </w:rPr>
              <w:t>20,300,000</w:t>
            </w:r>
          </w:p>
        </w:tc>
        <w:tc>
          <w:tcPr>
            <w:tcW w:w="3360" w:type="dxa"/>
            <w:tcBorders>
              <w:top w:val="single" w:sz="4" w:space="0" w:color="auto"/>
              <w:bottom w:val="single" w:sz="4" w:space="0" w:color="auto"/>
            </w:tcBorders>
          </w:tcPr>
          <w:p w14:paraId="461C7E9E" w14:textId="3A71853A" w:rsidR="00DE6D98" w:rsidRPr="0055748B" w:rsidRDefault="002D6CB0" w:rsidP="002828FA">
            <w:pPr>
              <w:pStyle w:val="TableText"/>
              <w:rPr>
                <w:b/>
              </w:rPr>
            </w:pPr>
            <w:r w:rsidRPr="0055748B">
              <w:rPr>
                <w:b/>
              </w:rPr>
              <w:t>100</w:t>
            </w:r>
            <w:r w:rsidR="0055748B" w:rsidRPr="0055748B">
              <w:rPr>
                <w:b/>
              </w:rPr>
              <w:t>%</w:t>
            </w:r>
          </w:p>
        </w:tc>
      </w:tr>
    </w:tbl>
    <w:p w14:paraId="49852C44" w14:textId="77777777" w:rsidR="00505F44" w:rsidRDefault="00505F44" w:rsidP="002828FA">
      <w:pPr>
        <w:pStyle w:val="TableSource"/>
      </w:pPr>
      <w:r>
        <w:t>Source: Compiled by Ascent Environmental in 2019 based on CAL FIRE data</w:t>
      </w:r>
    </w:p>
    <w:p w14:paraId="25017382" w14:textId="77777777" w:rsidR="006108D9" w:rsidRDefault="006108D9" w:rsidP="006108D9">
      <w:pPr>
        <w:pStyle w:val="Heading6"/>
      </w:pPr>
      <w:r>
        <w:t>State Agencies</w:t>
      </w:r>
    </w:p>
    <w:p w14:paraId="43B919E5" w14:textId="36D456FE" w:rsidR="006108D9" w:rsidRDefault="006108D9" w:rsidP="006108D9">
      <w:pPr>
        <w:pStyle w:val="BodyText"/>
      </w:pPr>
      <w:r>
        <w:t xml:space="preserve">There are 18 state agencies, including California </w:t>
      </w:r>
      <w:r w:rsidR="00F95E5C">
        <w:t>State Parks</w:t>
      </w:r>
      <w:r>
        <w:t xml:space="preserve"> (</w:t>
      </w:r>
      <w:r w:rsidR="00F95E5C">
        <w:t>CSP</w:t>
      </w:r>
      <w:r>
        <w:t xml:space="preserve">), California Department of Fish and Wildlife (CDFW), California State Lands Commission (CSLC), and CAL FIRE, that own land within the treatable landscape. </w:t>
      </w:r>
      <w:r w:rsidR="008E0058">
        <w:t>CSP</w:t>
      </w:r>
      <w:r>
        <w:t xml:space="preserve"> lands include state parks, state recreation areas, state historical monuments, state historic parks, state vehicular recreation areas, and state natural reserves.</w:t>
      </w:r>
      <w:r w:rsidRPr="00B959A6">
        <w:t xml:space="preserve"> </w:t>
      </w:r>
      <w:r>
        <w:t xml:space="preserve">CDFW lands include ecological reserves and wildlife areas throughout the </w:t>
      </w:r>
      <w:r w:rsidRPr="009966E4">
        <w:t>state</w:t>
      </w:r>
      <w:r>
        <w:t xml:space="preserve">, which are </w:t>
      </w:r>
      <w:r w:rsidRPr="008B03DE">
        <w:t>manage</w:t>
      </w:r>
      <w:r>
        <w:t>d</w:t>
      </w:r>
      <w:r w:rsidRPr="008B03DE">
        <w:t xml:space="preserve"> for conservation purposes</w:t>
      </w:r>
      <w:r w:rsidRPr="009966E4">
        <w:t>.</w:t>
      </w:r>
      <w:r>
        <w:t xml:space="preserve"> CSLC lands include </w:t>
      </w:r>
      <w:r w:rsidR="001D3666">
        <w:t>“</w:t>
      </w:r>
      <w:r>
        <w:t>school lands</w:t>
      </w:r>
      <w:r w:rsidR="001D3666">
        <w:t>”</w:t>
      </w:r>
      <w:r>
        <w:t xml:space="preserve"> (lands located throughout the state that Congress granted to California in 1853 to benefit public education); and </w:t>
      </w:r>
      <w:r w:rsidRPr="005A5CDD">
        <w:t>the beds of California</w:t>
      </w:r>
      <w:r w:rsidR="001D3666">
        <w:t>’</w:t>
      </w:r>
      <w:r w:rsidRPr="005A5CDD">
        <w:t>s navigable rivers, lakes</w:t>
      </w:r>
      <w:r>
        <w:t>,</w:t>
      </w:r>
      <w:r w:rsidRPr="005A5CDD">
        <w:t xml:space="preserve"> streams</w:t>
      </w:r>
      <w:r>
        <w:t xml:space="preserve">, tidelands, and associated natural resources under its jurisdiction. </w:t>
      </w:r>
      <w:r w:rsidRPr="009966E4">
        <w:t>CAL FIRE lands in the treatable landscape include Demonstration State Forests. These forests are used for timber harvesting</w:t>
      </w:r>
      <w:r>
        <w:t xml:space="preserve">, forest management </w:t>
      </w:r>
      <w:r w:rsidRPr="00427E60">
        <w:t>research and demonstration projects, public recreation, fish and wildlife habitat, and watershed protection.</w:t>
      </w:r>
      <w:r>
        <w:t xml:space="preserve"> Refer to Section 3.14, </w:t>
      </w:r>
      <w:r w:rsidR="001D3666">
        <w:t>“</w:t>
      </w:r>
      <w:r>
        <w:t>Recreation</w:t>
      </w:r>
      <w:r w:rsidR="001D3666">
        <w:t>,”</w:t>
      </w:r>
      <w:r>
        <w:t xml:space="preserve"> for additional description of </w:t>
      </w:r>
      <w:r w:rsidR="008E0058">
        <w:t>CSP</w:t>
      </w:r>
      <w:r>
        <w:t xml:space="preserve"> and CDFW lands in the treatable landscape.</w:t>
      </w:r>
    </w:p>
    <w:p w14:paraId="3C537452" w14:textId="43F02E09" w:rsidR="0094387B" w:rsidRDefault="0094387B" w:rsidP="00122A29">
      <w:pPr>
        <w:pStyle w:val="Heading6"/>
      </w:pPr>
      <w:r>
        <w:lastRenderedPageBreak/>
        <w:t>Special Districts</w:t>
      </w:r>
    </w:p>
    <w:p w14:paraId="7022D819" w14:textId="11B612C0" w:rsidR="0094387B" w:rsidRDefault="006F370D" w:rsidP="00110E79">
      <w:pPr>
        <w:pStyle w:val="BodyText"/>
        <w:keepLines/>
      </w:pPr>
      <w:r>
        <w:t xml:space="preserve">Within the treatable landscape, 131 special districts own 1 percent of </w:t>
      </w:r>
      <w:r w:rsidR="00922121">
        <w:t xml:space="preserve">the </w:t>
      </w:r>
      <w:r>
        <w:t>land.</w:t>
      </w:r>
      <w:r w:rsidR="007124A6">
        <w:t xml:space="preserve"> The types of special districts include </w:t>
      </w:r>
      <w:r w:rsidR="00EB2D5C">
        <w:t xml:space="preserve">open space, park, </w:t>
      </w:r>
      <w:r w:rsidR="001F3064">
        <w:t xml:space="preserve">recreation, </w:t>
      </w:r>
      <w:r w:rsidR="008C6211">
        <w:t xml:space="preserve">utility, </w:t>
      </w:r>
      <w:r w:rsidR="00EB2D5C">
        <w:t xml:space="preserve">irrigation, water, </w:t>
      </w:r>
      <w:r w:rsidR="003537EC">
        <w:t xml:space="preserve">sanitation, </w:t>
      </w:r>
      <w:r w:rsidR="00A91DC3">
        <w:t xml:space="preserve">and </w:t>
      </w:r>
      <w:r w:rsidR="003537EC">
        <w:t>community services</w:t>
      </w:r>
      <w:r w:rsidR="00A91DC3">
        <w:t xml:space="preserve"> districts.</w:t>
      </w:r>
      <w:r w:rsidR="0056652D">
        <w:t xml:space="preserve"> The special districts that own the largest areas include East Bay Regional Park District, Midpeninsula Regional Open Space District, East Bay Municipal Utility District, </w:t>
      </w:r>
      <w:r w:rsidR="008E418C" w:rsidRPr="008E418C">
        <w:t>Mountains Recreation and Conservation Authority</w:t>
      </w:r>
      <w:r w:rsidR="008E418C">
        <w:t>, and Vista Irrigation District.</w:t>
      </w:r>
    </w:p>
    <w:p w14:paraId="608E25D1" w14:textId="30C32C83" w:rsidR="00F334B7" w:rsidRDefault="0094387B" w:rsidP="00104525">
      <w:pPr>
        <w:pStyle w:val="Heading6"/>
      </w:pPr>
      <w:r>
        <w:t>Non-profit Organizations</w:t>
      </w:r>
    </w:p>
    <w:p w14:paraId="78C8E7D2" w14:textId="0D8C4443" w:rsidR="00CA6067" w:rsidRDefault="004D279F" w:rsidP="00BC56AC">
      <w:pPr>
        <w:pStyle w:val="BodyText"/>
      </w:pPr>
      <w:r>
        <w:t xml:space="preserve">The treatable landscape </w:t>
      </w:r>
      <w:r w:rsidR="00922121">
        <w:t xml:space="preserve">encompasses </w:t>
      </w:r>
      <w:r w:rsidR="007154C5">
        <w:t xml:space="preserve">land owned by </w:t>
      </w:r>
      <w:r w:rsidR="002C5EDC">
        <w:t>8</w:t>
      </w:r>
      <w:r w:rsidR="007B1371">
        <w:t>1</w:t>
      </w:r>
      <w:r w:rsidR="00022FF6">
        <w:t xml:space="preserve"> non-profit organizations. These lands are within preserves, reserves, conservancies, and land trusts. </w:t>
      </w:r>
      <w:r w:rsidR="00681604">
        <w:t xml:space="preserve">These lands are managed </w:t>
      </w:r>
      <w:r w:rsidR="00F77206">
        <w:t xml:space="preserve">for </w:t>
      </w:r>
      <w:r w:rsidR="00D954A3">
        <w:t xml:space="preserve">a variety of uses, including </w:t>
      </w:r>
      <w:r w:rsidR="00F77206">
        <w:t xml:space="preserve">protection </w:t>
      </w:r>
      <w:r w:rsidR="00223954">
        <w:t xml:space="preserve">and preservation of open space, </w:t>
      </w:r>
      <w:r w:rsidR="00223954" w:rsidRPr="005D4FA3">
        <w:t>wildlife habitat, watersheds, and other important natural and scenic features</w:t>
      </w:r>
      <w:r w:rsidR="00681604">
        <w:t xml:space="preserve">; </w:t>
      </w:r>
      <w:r w:rsidR="00734F09">
        <w:t>retain</w:t>
      </w:r>
      <w:r w:rsidR="00D954A3">
        <w:t>ing</w:t>
      </w:r>
      <w:r w:rsidR="00734F09">
        <w:t xml:space="preserve"> public access </w:t>
      </w:r>
      <w:r w:rsidR="00D954A3">
        <w:t xml:space="preserve">for education or recreation opportunities; preserving farmland; and </w:t>
      </w:r>
      <w:r w:rsidR="00270118">
        <w:t>conduct</w:t>
      </w:r>
      <w:r w:rsidR="00D954A3">
        <w:t>ing</w:t>
      </w:r>
      <w:r w:rsidR="00734F09">
        <w:t xml:space="preserve"> research</w:t>
      </w:r>
      <w:r w:rsidR="00D954A3">
        <w:t>.</w:t>
      </w:r>
      <w:r w:rsidR="00734F09">
        <w:t xml:space="preserve"> </w:t>
      </w:r>
    </w:p>
    <w:p w14:paraId="30C18615" w14:textId="77777777" w:rsidR="006108D9" w:rsidRDefault="006108D9" w:rsidP="006108D9">
      <w:pPr>
        <w:pStyle w:val="Heading6"/>
      </w:pPr>
      <w:r>
        <w:t>Cities and Counties</w:t>
      </w:r>
    </w:p>
    <w:p w14:paraId="409BB6D3" w14:textId="312A9B58" w:rsidR="006108D9" w:rsidRDefault="006108D9" w:rsidP="00BC56AC">
      <w:pPr>
        <w:pStyle w:val="BodyText"/>
      </w:pPr>
      <w:r>
        <w:t>Within the treatable landscape, 131 cities and 43 counties collectively own 2 percent of the land. Some of the cities (or city agencies) that own the largest areas include San Diego, Santa Barbara, Santa Cruz, Santa Clarita, and the City of Los Angeles</w:t>
      </w:r>
      <w:r w:rsidR="001D3666">
        <w:t>’</w:t>
      </w:r>
      <w:r>
        <w:t xml:space="preserve"> Department of Water and Power. Counties (or county agencies) that own the largest areas include </w:t>
      </w:r>
      <w:r w:rsidRPr="008A46B6">
        <w:t>City and County of San Francisco</w:t>
      </w:r>
      <w:r w:rsidR="001D3666">
        <w:t>’</w:t>
      </w:r>
      <w:r>
        <w:t>s</w:t>
      </w:r>
      <w:r w:rsidRPr="008A46B6">
        <w:t xml:space="preserve"> Public Utilities Commission</w:t>
      </w:r>
      <w:r>
        <w:t>, Santa Clara County Parks and Recreation Department, San Diego County, Orange County, and Riverside County.</w:t>
      </w:r>
    </w:p>
    <w:p w14:paraId="45D0AD04" w14:textId="1626C5AA" w:rsidR="007621E0" w:rsidRDefault="007621E0" w:rsidP="007621E0">
      <w:pPr>
        <w:pStyle w:val="Heading5"/>
      </w:pPr>
      <w:r>
        <w:t>Coastal Zone</w:t>
      </w:r>
    </w:p>
    <w:p w14:paraId="6879D024" w14:textId="14FFFD8E" w:rsidR="007621E0" w:rsidRDefault="007621E0" w:rsidP="00BC56AC">
      <w:pPr>
        <w:pStyle w:val="BodyText"/>
      </w:pPr>
      <w:r>
        <w:t xml:space="preserve">A portion of the treatable landscape is located within the coastal zone, which was established </w:t>
      </w:r>
      <w:proofErr w:type="spellStart"/>
      <w:r w:rsidRPr="00505F44">
        <w:rPr>
          <w:strike/>
        </w:rPr>
        <w:t>in</w:t>
      </w:r>
      <w:r w:rsidR="00A30E35" w:rsidRPr="00505F44">
        <w:rPr>
          <w:u w:val="single"/>
        </w:rPr>
        <w:t>by</w:t>
      </w:r>
      <w:proofErr w:type="spellEnd"/>
      <w:r w:rsidR="00A30E35" w:rsidRPr="00505F44">
        <w:rPr>
          <w:u w:val="single"/>
        </w:rPr>
        <w:t xml:space="preserve"> </w:t>
      </w:r>
      <w:r>
        <w:t xml:space="preserve">the Coastal Act and is </w:t>
      </w:r>
      <w:r w:rsidR="00A30E35" w:rsidRPr="00505F44">
        <w:rPr>
          <w:u w:val="single"/>
        </w:rPr>
        <w:t>with</w:t>
      </w:r>
      <w:r>
        <w:t xml:space="preserve">in the jurisdictional boundary of the Coastal Commission. The Coastal Act is further discussed under Section 3.12.2, </w:t>
      </w:r>
      <w:r w:rsidR="001D3666">
        <w:t>“</w:t>
      </w:r>
      <w:r>
        <w:t>Regulatory Setting</w:t>
      </w:r>
      <w:r w:rsidR="001D3666">
        <w:t>,”</w:t>
      </w:r>
      <w:r>
        <w:t xml:space="preserve"> below. </w:t>
      </w:r>
      <w:r w:rsidR="003F4646">
        <w:t>The majority of the treatable landscape within the coastal zone fall</w:t>
      </w:r>
      <w:r w:rsidR="00922121">
        <w:t>s</w:t>
      </w:r>
      <w:r w:rsidR="003F4646">
        <w:t xml:space="preserve"> within areas that are covered by Local Coastal Programs (LCPs)</w:t>
      </w:r>
      <w:r w:rsidR="00922121">
        <w:t>, which</w:t>
      </w:r>
      <w:r w:rsidR="003F4646">
        <w:t xml:space="preserve"> are developed and implemented by local jurisdictions (see Table 3.12-2)</w:t>
      </w:r>
      <w:r w:rsidR="00A30E35" w:rsidRPr="00505F44">
        <w:rPr>
          <w:u w:val="single"/>
        </w:rPr>
        <w:t xml:space="preserve"> upon certification by the Coastal Commission as to Coastal Act consistency</w:t>
      </w:r>
      <w:r w:rsidR="003F4646">
        <w:t xml:space="preserve">. </w:t>
      </w:r>
      <w:r w:rsidR="00A30E35" w:rsidRPr="00505F44">
        <w:rPr>
          <w:u w:val="single"/>
        </w:rPr>
        <w:t xml:space="preserve">Among other things, LCPs specify coastal development permit permitting standards for jurisdictions within certified LCPs. </w:t>
      </w:r>
      <w:r w:rsidR="003F4646">
        <w:t xml:space="preserve">For the purposes of compliance with the Coastal Act, areas </w:t>
      </w:r>
      <w:r w:rsidR="003F4646" w:rsidRPr="00505F44">
        <w:rPr>
          <w:strike/>
        </w:rPr>
        <w:t xml:space="preserve">outside </w:t>
      </w:r>
      <w:proofErr w:type="spellStart"/>
      <w:r w:rsidR="003F4646" w:rsidRPr="00505F44">
        <w:rPr>
          <w:strike/>
        </w:rPr>
        <w:t>of</w:t>
      </w:r>
      <w:r w:rsidR="00A30E35" w:rsidRPr="00505F44">
        <w:rPr>
          <w:u w:val="single"/>
        </w:rPr>
        <w:t>without</w:t>
      </w:r>
      <w:proofErr w:type="spellEnd"/>
      <w:r w:rsidR="00A30E35" w:rsidRPr="00505F44">
        <w:rPr>
          <w:u w:val="single"/>
        </w:rPr>
        <w:t xml:space="preserve"> certified</w:t>
      </w:r>
      <w:r w:rsidR="003F4646">
        <w:t xml:space="preserve"> LCPs are under the </w:t>
      </w:r>
      <w:r w:rsidR="00A30E35" w:rsidRPr="00505F44">
        <w:rPr>
          <w:u w:val="single"/>
        </w:rPr>
        <w:t xml:space="preserve">permitting </w:t>
      </w:r>
      <w:r w:rsidR="003F4646">
        <w:t>jurisdiction of the Coastal Commission.</w:t>
      </w:r>
    </w:p>
    <w:p w14:paraId="4E05A63E" w14:textId="77777777" w:rsidR="00505F44" w:rsidRDefault="00505F44" w:rsidP="003F4646">
      <w:pPr>
        <w:pStyle w:val="TableHeader"/>
      </w:pPr>
      <w:bookmarkStart w:id="3" w:name="_Toc23837151"/>
      <w:r>
        <w:t>Table 3.12-2</w:t>
      </w:r>
      <w:r>
        <w:tab/>
        <w:t>Areas of the Treatable Landscape within the Coastal Zone</w:t>
      </w:r>
      <w:bookmarkEnd w:id="3"/>
    </w:p>
    <w:tbl>
      <w:tblPr>
        <w:tblStyle w:val="TableGrid"/>
        <w:tblW w:w="10080" w:type="dxa"/>
        <w:jc w:val="center"/>
        <w:tblBorders>
          <w:top w:val="none" w:sz="0" w:space="0" w:color="auto"/>
          <w:left w:val="none" w:sz="0" w:space="0" w:color="auto"/>
          <w:bottom w:val="none" w:sz="0" w:space="0" w:color="auto"/>
          <w:right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3360"/>
        <w:gridCol w:w="3360"/>
        <w:gridCol w:w="3360"/>
      </w:tblGrid>
      <w:tr w:rsidR="003F4646" w14:paraId="5EF49AA2" w14:textId="77777777" w:rsidTr="009A1356">
        <w:trPr>
          <w:tblHeader/>
          <w:jc w:val="center"/>
        </w:trPr>
        <w:tc>
          <w:tcPr>
            <w:tcW w:w="3360" w:type="dxa"/>
            <w:tcBorders>
              <w:top w:val="single" w:sz="4" w:space="0" w:color="auto"/>
              <w:bottom w:val="single" w:sz="4" w:space="0" w:color="auto"/>
            </w:tcBorders>
            <w:shd w:val="clear" w:color="auto" w:fill="D9D9D9" w:themeFill="background1" w:themeFillShade="D9"/>
          </w:tcPr>
          <w:p w14:paraId="65196076" w14:textId="1B1DC34E" w:rsidR="003F4646" w:rsidRDefault="003F4646" w:rsidP="00445E36">
            <w:pPr>
              <w:pStyle w:val="TableColumn"/>
            </w:pPr>
            <w:r>
              <w:t>Coastal Zone Management</w:t>
            </w:r>
          </w:p>
        </w:tc>
        <w:tc>
          <w:tcPr>
            <w:tcW w:w="3360" w:type="dxa"/>
            <w:tcBorders>
              <w:top w:val="single" w:sz="4" w:space="0" w:color="auto"/>
              <w:bottom w:val="single" w:sz="4" w:space="0" w:color="auto"/>
            </w:tcBorders>
            <w:shd w:val="clear" w:color="auto" w:fill="D9D9D9" w:themeFill="background1" w:themeFillShade="D9"/>
          </w:tcPr>
          <w:p w14:paraId="199675F9" w14:textId="77777777" w:rsidR="003F4646" w:rsidRDefault="003F4646" w:rsidP="00445E36">
            <w:pPr>
              <w:pStyle w:val="TableColumn"/>
            </w:pPr>
            <w:r>
              <w:t>Amount of Land (acres)</w:t>
            </w:r>
          </w:p>
        </w:tc>
        <w:tc>
          <w:tcPr>
            <w:tcW w:w="3360" w:type="dxa"/>
            <w:tcBorders>
              <w:top w:val="single" w:sz="4" w:space="0" w:color="auto"/>
              <w:bottom w:val="single" w:sz="4" w:space="0" w:color="auto"/>
            </w:tcBorders>
            <w:shd w:val="clear" w:color="auto" w:fill="D9D9D9" w:themeFill="background1" w:themeFillShade="D9"/>
          </w:tcPr>
          <w:p w14:paraId="3C388289" w14:textId="382DA1A1" w:rsidR="003F4646" w:rsidRDefault="003F4646" w:rsidP="00445E36">
            <w:pPr>
              <w:pStyle w:val="TableColumn"/>
            </w:pPr>
            <w:r>
              <w:t>Number of LCPs</w:t>
            </w:r>
          </w:p>
        </w:tc>
      </w:tr>
      <w:tr w:rsidR="003F4646" w14:paraId="1BF82D43" w14:textId="77777777" w:rsidTr="00505F44">
        <w:trPr>
          <w:jc w:val="center"/>
        </w:trPr>
        <w:tc>
          <w:tcPr>
            <w:tcW w:w="3360" w:type="dxa"/>
            <w:tcBorders>
              <w:top w:val="single" w:sz="4" w:space="0" w:color="auto"/>
            </w:tcBorders>
          </w:tcPr>
          <w:p w14:paraId="68DD2306" w14:textId="3BBEAD73" w:rsidR="003F4646" w:rsidRPr="002A79EF" w:rsidRDefault="003F4646" w:rsidP="002A79EF">
            <w:pPr>
              <w:pStyle w:val="TableText"/>
            </w:pPr>
            <w:r w:rsidRPr="002A79EF">
              <w:t>Local Coastal Programs</w:t>
            </w:r>
          </w:p>
        </w:tc>
        <w:tc>
          <w:tcPr>
            <w:tcW w:w="3360" w:type="dxa"/>
            <w:tcBorders>
              <w:top w:val="single" w:sz="4" w:space="0" w:color="auto"/>
            </w:tcBorders>
            <w:vAlign w:val="bottom"/>
          </w:tcPr>
          <w:p w14:paraId="069585C9" w14:textId="19D64FAF" w:rsidR="003F4646" w:rsidRPr="002A79EF" w:rsidRDefault="003F4646" w:rsidP="002A79EF">
            <w:pPr>
              <w:pStyle w:val="TableText"/>
            </w:pPr>
            <w:r w:rsidRPr="002A79EF">
              <w:t xml:space="preserve">528,810 </w:t>
            </w:r>
          </w:p>
        </w:tc>
        <w:tc>
          <w:tcPr>
            <w:tcW w:w="3360" w:type="dxa"/>
            <w:tcBorders>
              <w:top w:val="single" w:sz="4" w:space="0" w:color="auto"/>
            </w:tcBorders>
          </w:tcPr>
          <w:p w14:paraId="313A1303" w14:textId="0CEA05EF" w:rsidR="003F4646" w:rsidRPr="002A79EF" w:rsidRDefault="003F4646" w:rsidP="002A79EF">
            <w:pPr>
              <w:pStyle w:val="TableText"/>
            </w:pPr>
            <w:r w:rsidRPr="002A79EF">
              <w:t>54</w:t>
            </w:r>
          </w:p>
        </w:tc>
      </w:tr>
      <w:tr w:rsidR="003F4646" w14:paraId="49B09629" w14:textId="77777777" w:rsidTr="00505F44">
        <w:trPr>
          <w:jc w:val="center"/>
        </w:trPr>
        <w:tc>
          <w:tcPr>
            <w:tcW w:w="3360" w:type="dxa"/>
            <w:tcBorders>
              <w:bottom w:val="single" w:sz="4" w:space="0" w:color="auto"/>
            </w:tcBorders>
          </w:tcPr>
          <w:p w14:paraId="1AED2EA5" w14:textId="7E3ABFD9" w:rsidR="003F4646" w:rsidRPr="002A79EF" w:rsidRDefault="003F4646" w:rsidP="002A79EF">
            <w:pPr>
              <w:pStyle w:val="TableText"/>
            </w:pPr>
            <w:r w:rsidRPr="002A79EF">
              <w:t>Coastal Commission</w:t>
            </w:r>
          </w:p>
        </w:tc>
        <w:tc>
          <w:tcPr>
            <w:tcW w:w="3360" w:type="dxa"/>
            <w:tcBorders>
              <w:bottom w:val="single" w:sz="4" w:space="0" w:color="auto"/>
            </w:tcBorders>
            <w:vAlign w:val="bottom"/>
          </w:tcPr>
          <w:p w14:paraId="1823387A" w14:textId="4DBBBCD2" w:rsidR="003F4646" w:rsidRPr="002A79EF" w:rsidRDefault="003F4646" w:rsidP="002A79EF">
            <w:pPr>
              <w:pStyle w:val="TableText"/>
            </w:pPr>
            <w:r w:rsidRPr="002A79EF">
              <w:t xml:space="preserve">13,360 </w:t>
            </w:r>
          </w:p>
        </w:tc>
        <w:tc>
          <w:tcPr>
            <w:tcW w:w="3360" w:type="dxa"/>
            <w:tcBorders>
              <w:bottom w:val="single" w:sz="4" w:space="0" w:color="auto"/>
            </w:tcBorders>
          </w:tcPr>
          <w:p w14:paraId="1A3A4D34" w14:textId="4DBF441B" w:rsidR="003F4646" w:rsidRPr="002A79EF" w:rsidRDefault="003F4646" w:rsidP="002A79EF">
            <w:pPr>
              <w:pStyle w:val="TableText"/>
            </w:pPr>
            <w:r w:rsidRPr="002A79EF">
              <w:t>NA</w:t>
            </w:r>
          </w:p>
        </w:tc>
      </w:tr>
      <w:tr w:rsidR="003F4646" w:rsidRPr="002A79EF" w14:paraId="15C99536" w14:textId="77777777" w:rsidTr="00505F44">
        <w:trPr>
          <w:jc w:val="center"/>
        </w:trPr>
        <w:tc>
          <w:tcPr>
            <w:tcW w:w="3360" w:type="dxa"/>
            <w:tcBorders>
              <w:top w:val="single" w:sz="4" w:space="0" w:color="auto"/>
              <w:bottom w:val="single" w:sz="4" w:space="0" w:color="auto"/>
            </w:tcBorders>
          </w:tcPr>
          <w:p w14:paraId="6AF82E3D" w14:textId="1389284F" w:rsidR="003F4646" w:rsidRPr="002A79EF" w:rsidRDefault="003F4646" w:rsidP="002A79EF">
            <w:pPr>
              <w:pStyle w:val="TableText"/>
              <w:rPr>
                <w:b/>
              </w:rPr>
            </w:pPr>
            <w:r w:rsidRPr="002A79EF">
              <w:rPr>
                <w:b/>
              </w:rPr>
              <w:t>Total</w:t>
            </w:r>
          </w:p>
        </w:tc>
        <w:tc>
          <w:tcPr>
            <w:tcW w:w="3360" w:type="dxa"/>
            <w:tcBorders>
              <w:top w:val="single" w:sz="4" w:space="0" w:color="auto"/>
              <w:bottom w:val="single" w:sz="4" w:space="0" w:color="auto"/>
            </w:tcBorders>
            <w:vAlign w:val="bottom"/>
          </w:tcPr>
          <w:p w14:paraId="4E12BD5D" w14:textId="3647B2BC" w:rsidR="003F4646" w:rsidRPr="002A79EF" w:rsidRDefault="003F4646" w:rsidP="002A79EF">
            <w:pPr>
              <w:pStyle w:val="TableText"/>
              <w:rPr>
                <w:b/>
              </w:rPr>
            </w:pPr>
            <w:r w:rsidRPr="002A79EF">
              <w:rPr>
                <w:b/>
              </w:rPr>
              <w:t xml:space="preserve">542,170 </w:t>
            </w:r>
          </w:p>
        </w:tc>
        <w:tc>
          <w:tcPr>
            <w:tcW w:w="3360" w:type="dxa"/>
            <w:tcBorders>
              <w:top w:val="single" w:sz="4" w:space="0" w:color="auto"/>
              <w:bottom w:val="single" w:sz="4" w:space="0" w:color="auto"/>
            </w:tcBorders>
          </w:tcPr>
          <w:p w14:paraId="3FF78582" w14:textId="701BEE6A" w:rsidR="003F4646" w:rsidRPr="002A79EF" w:rsidRDefault="003F4646" w:rsidP="002A79EF">
            <w:pPr>
              <w:pStyle w:val="TableText"/>
              <w:rPr>
                <w:b/>
              </w:rPr>
            </w:pPr>
            <w:r w:rsidRPr="002A79EF">
              <w:rPr>
                <w:b/>
              </w:rPr>
              <w:t>54</w:t>
            </w:r>
          </w:p>
        </w:tc>
      </w:tr>
    </w:tbl>
    <w:p w14:paraId="4A538561" w14:textId="77777777" w:rsidR="00505F44" w:rsidRDefault="00505F44" w:rsidP="00445E36">
      <w:pPr>
        <w:pStyle w:val="TableSource"/>
      </w:pPr>
      <w:r>
        <w:t>Note: NA = not applicable</w:t>
      </w:r>
    </w:p>
    <w:p w14:paraId="0130C41E" w14:textId="77777777" w:rsidR="00505F44" w:rsidRDefault="00505F44" w:rsidP="00445E36">
      <w:pPr>
        <w:pStyle w:val="TableSource"/>
      </w:pPr>
      <w:r>
        <w:t>Source: Compiled by Ascent Environmental in 2019 based on CAL FIRE and Coastal Commission data</w:t>
      </w:r>
    </w:p>
    <w:p w14:paraId="4BB6C0D7" w14:textId="51309D15" w:rsidR="008E0058" w:rsidRDefault="008E0058" w:rsidP="008E0058">
      <w:pPr>
        <w:pStyle w:val="Heading5"/>
      </w:pPr>
      <w:r>
        <w:t>Land Use Planning and Wildfires</w:t>
      </w:r>
    </w:p>
    <w:p w14:paraId="69407DFF" w14:textId="09259687" w:rsidR="006318CE" w:rsidRDefault="006318CE" w:rsidP="002470FB">
      <w:pPr>
        <w:pStyle w:val="BodyText"/>
      </w:pPr>
      <w:bookmarkStart w:id="4" w:name="_Hlk5115726"/>
      <w:r>
        <w:t xml:space="preserve">Treatments occur </w:t>
      </w:r>
      <w:r w:rsidR="00556ACC">
        <w:t xml:space="preserve">within </w:t>
      </w:r>
      <w:r>
        <w:t xml:space="preserve">the treatable landscape in areas governed by various </w:t>
      </w:r>
      <w:r w:rsidR="009F3F83">
        <w:t xml:space="preserve">city and county </w:t>
      </w:r>
      <w:r>
        <w:t xml:space="preserve">land use plans and </w:t>
      </w:r>
      <w:r w:rsidR="009F3F83">
        <w:t>ordinances</w:t>
      </w:r>
      <w:r>
        <w:t xml:space="preserve">. </w:t>
      </w:r>
      <w:bookmarkStart w:id="5" w:name="_Hlk6761189"/>
      <w:r w:rsidR="005227D0">
        <w:t xml:space="preserve">As described in Chapter 1, </w:t>
      </w:r>
      <w:r w:rsidR="001D3666">
        <w:t>“</w:t>
      </w:r>
      <w:r w:rsidR="005227D0">
        <w:t>Introduction</w:t>
      </w:r>
      <w:r w:rsidR="001D3666">
        <w:t>”</w:t>
      </w:r>
      <w:r w:rsidR="005227D0">
        <w:t xml:space="preserve"> and Section 2.3.1, </w:t>
      </w:r>
      <w:r w:rsidR="001D3666">
        <w:t>“</w:t>
      </w:r>
      <w:r w:rsidR="005227D0">
        <w:t>Past and Current Treatments,</w:t>
      </w:r>
      <w:r w:rsidR="001D3666">
        <w:t>”</w:t>
      </w:r>
      <w:r w:rsidR="005227D0">
        <w:t xml:space="preserve"> </w:t>
      </w:r>
      <w:bookmarkEnd w:id="5"/>
      <w:r w:rsidR="005227D0">
        <w:t xml:space="preserve">vegetation </w:t>
      </w:r>
      <w:r w:rsidR="005227D0" w:rsidRPr="00194756">
        <w:t>treatment currently occurs around the state under</w:t>
      </w:r>
      <w:r w:rsidR="005227D0">
        <w:t xml:space="preserve"> several other wildfire risk reduction programs implemented by various federal, state, and local agencies. In 2017–2018, CAL FIRE treated approximately 33,000 acres in California using the same treatment activities as proposed under the CalVTP.</w:t>
      </w:r>
    </w:p>
    <w:p w14:paraId="76D23A7C" w14:textId="29A9A1C0" w:rsidR="00216B39" w:rsidRDefault="00216B39" w:rsidP="002470FB">
      <w:pPr>
        <w:pStyle w:val="BodyText"/>
      </w:pPr>
      <w:r>
        <w:t xml:space="preserve">CAL FIRE maps Fire Hazard Severity Zones (FHSZs) based on </w:t>
      </w:r>
      <w:r w:rsidR="009F3F83">
        <w:t>defined</w:t>
      </w:r>
      <w:r w:rsidR="00E03F39">
        <w:t xml:space="preserve"> </w:t>
      </w:r>
      <w:r>
        <w:t>factor</w:t>
      </w:r>
      <w:r w:rsidR="00E03F39">
        <w:t>s</w:t>
      </w:r>
      <w:r>
        <w:t xml:space="preserve"> (</w:t>
      </w:r>
      <w:r w:rsidR="00E21AC3">
        <w:t>e.g.,</w:t>
      </w:r>
      <w:r>
        <w:t xml:space="preserve"> fuel, slope, and fire weather) with varying degrees of fire hazard (i.e., moderate, high, and very high). While FHSZ zones do not predict when or where a wildfire will occur, they do identify areas where wildfire hazards could be more severe and</w:t>
      </w:r>
      <w:r w:rsidR="007E6C13">
        <w:t>,</w:t>
      </w:r>
      <w:r>
        <w:t xml:space="preserve"> therefore</w:t>
      </w:r>
      <w:r w:rsidR="007E6C13">
        <w:t>,</w:t>
      </w:r>
      <w:r>
        <w:t xml:space="preserve"> are of greater concern. </w:t>
      </w:r>
      <w:r w:rsidR="002470FB">
        <w:t>FHSZs are meant to help limit wildfire damage to structures through planning, prevention, and mitigation activities</w:t>
      </w:r>
      <w:r w:rsidR="007E6C13">
        <w:t xml:space="preserve"> or </w:t>
      </w:r>
      <w:r w:rsidR="002470FB">
        <w:t>requirements that reduce risk</w:t>
      </w:r>
      <w:r w:rsidR="00B234B1">
        <w:t xml:space="preserve"> (CAL FIRE 2018)</w:t>
      </w:r>
      <w:r w:rsidR="002470FB">
        <w:t>.</w:t>
      </w:r>
      <w:r w:rsidR="00B234B1">
        <w:t xml:space="preserve"> </w:t>
      </w:r>
      <w:r w:rsidR="00B65667">
        <w:t>FHSZs are mapped for SRAs, local responsibility areas, and federal responsibility areas.</w:t>
      </w:r>
    </w:p>
    <w:p w14:paraId="2103015E" w14:textId="024A6C5D" w:rsidR="006776BE" w:rsidRDefault="00A3031D" w:rsidP="00D114C8">
      <w:pPr>
        <w:pStyle w:val="BodyText"/>
      </w:pPr>
      <w:r>
        <w:lastRenderedPageBreak/>
        <w:t>The FHSZs are used to designate areas where California</w:t>
      </w:r>
      <w:r w:rsidR="001D3666">
        <w:t>’</w:t>
      </w:r>
      <w:r>
        <w:t>s wildland urban interface building codes apply to new buildings</w:t>
      </w:r>
      <w:r w:rsidR="00E03F39">
        <w:t>. T</w:t>
      </w:r>
      <w:r>
        <w:t>hey can be a factor in real estate disclosure and local governments consider fire hazard severity in the safety elements of their general plans.</w:t>
      </w:r>
      <w:r w:rsidR="006776BE" w:rsidRPr="006776BE">
        <w:t xml:space="preserve"> </w:t>
      </w:r>
      <w:r w:rsidR="007126CC">
        <w:t xml:space="preserve">CAL FIRE </w:t>
      </w:r>
      <w:r w:rsidR="00FC5A18">
        <w:t xml:space="preserve">has </w:t>
      </w:r>
      <w:r w:rsidR="007126CC">
        <w:t>released the</w:t>
      </w:r>
      <w:r w:rsidR="00C1784D">
        <w:t>ir recommendations for</w:t>
      </w:r>
      <w:r w:rsidR="007126CC">
        <w:t xml:space="preserve"> very high FHSZ maps in </w:t>
      </w:r>
      <w:r w:rsidR="00FC5A18">
        <w:t>LRAs</w:t>
      </w:r>
      <w:r w:rsidR="00C1784D">
        <w:t xml:space="preserve">. </w:t>
      </w:r>
      <w:r w:rsidR="00FC5A18" w:rsidRPr="00FC5A18">
        <w:t xml:space="preserve">Government Code Section 51179 </w:t>
      </w:r>
      <w:r w:rsidR="00FC5A18">
        <w:t xml:space="preserve">requires </w:t>
      </w:r>
      <w:r w:rsidR="00E03F39">
        <w:t xml:space="preserve">every </w:t>
      </w:r>
      <w:r w:rsidR="00FC5A18">
        <w:t xml:space="preserve">local </w:t>
      </w:r>
      <w:r w:rsidR="00B879FC">
        <w:t>agency</w:t>
      </w:r>
      <w:r w:rsidR="00FC5A18">
        <w:t xml:space="preserve"> to</w:t>
      </w:r>
      <w:r w:rsidR="00FC5A18" w:rsidRPr="00FC5A18">
        <w:t xml:space="preserve"> designate, by ordinance, very high fire hazard severity zones in its jurisdiction within 120 days of receiving recommendations from </w:t>
      </w:r>
      <w:r w:rsidR="00FC5A18">
        <w:t>CAL FIRE</w:t>
      </w:r>
      <w:r w:rsidR="00FC5A18" w:rsidRPr="00FC5A18">
        <w:t xml:space="preserve"> pursuant to subdivisions (b) and (c) of Section 51178. A local agency shall be exempt from this requirement if ordinances of the local agency, adopted on or before December 31, 1992, impose standards that are equivalent to, or more restrictive than, the standards imposed by this chapter.</w:t>
      </w:r>
      <w:r w:rsidR="00FC5A18">
        <w:t xml:space="preserve"> Adoption of</w:t>
      </w:r>
      <w:r w:rsidR="006776BE">
        <w:t xml:space="preserve"> the very high FHSZ designations</w:t>
      </w:r>
      <w:r w:rsidR="00F1203C">
        <w:t xml:space="preserve"> in LRAs</w:t>
      </w:r>
      <w:r w:rsidR="00FC5A18">
        <w:t xml:space="preserve"> by the local jurisdiction</w:t>
      </w:r>
      <w:r w:rsidR="006776BE">
        <w:t xml:space="preserve"> will </w:t>
      </w:r>
      <w:r w:rsidR="00E03F39">
        <w:t>impose</w:t>
      </w:r>
      <w:r w:rsidR="006776BE">
        <w:t xml:space="preserve"> requirements </w:t>
      </w:r>
      <w:r w:rsidR="00B234B1">
        <w:t>for new buildings to be constructed</w:t>
      </w:r>
      <w:r w:rsidR="006776BE">
        <w:t xml:space="preserve"> of fire-resistant building materials as described in Chapter 7A of the California Building Code. Currently</w:t>
      </w:r>
      <w:r w:rsidR="00F1203C">
        <w:t>,</w:t>
      </w:r>
      <w:r w:rsidR="006776BE">
        <w:t xml:space="preserve"> there are 189 cities and 35 counties with </w:t>
      </w:r>
      <w:r w:rsidR="00B65667">
        <w:t xml:space="preserve">very high </w:t>
      </w:r>
      <w:r w:rsidR="006776BE">
        <w:t>FHSZ</w:t>
      </w:r>
      <w:r w:rsidR="00B65667" w:rsidRPr="00B65667">
        <w:t xml:space="preserve"> </w:t>
      </w:r>
      <w:r w:rsidR="00B65667">
        <w:t>in the LRA</w:t>
      </w:r>
      <w:r w:rsidR="00B234B1">
        <w:t xml:space="preserve">; however, </w:t>
      </w:r>
      <w:r w:rsidR="00B234B1" w:rsidRPr="00B234B1">
        <w:t>CAL FIRE does not have a current list of local agencies that have adopted ordinances establishing Very High Fire Hazard Severity zones within their boundaries</w:t>
      </w:r>
      <w:r w:rsidR="00B234B1">
        <w:t xml:space="preserve"> (CAL FIRE 2018</w:t>
      </w:r>
      <w:r w:rsidR="00F1203C">
        <w:t>,</w:t>
      </w:r>
      <w:r w:rsidR="00B234B1">
        <w:t xml:space="preserve"> 2019)</w:t>
      </w:r>
      <w:r w:rsidR="00B234B1" w:rsidRPr="00B234B1">
        <w:t>.</w:t>
      </w:r>
    </w:p>
    <w:p w14:paraId="5F8B1DF2" w14:textId="47D7F224" w:rsidR="006318CE" w:rsidRDefault="0089542B" w:rsidP="006776BE">
      <w:pPr>
        <w:pStyle w:val="BodyText"/>
      </w:pPr>
      <w:r w:rsidRPr="0089542B">
        <w:t xml:space="preserve">The CAL FIRE Land Use Planning Program </w:t>
      </w:r>
      <w:r>
        <w:t xml:space="preserve">also </w:t>
      </w:r>
      <w:r w:rsidRPr="0089542B">
        <w:t>engages with city and county planning and development departments to improve comprehensive fire hazard planning through general plan safety elements and other plans.</w:t>
      </w:r>
      <w:r w:rsidR="009C77AB">
        <w:t xml:space="preserve"> </w:t>
      </w:r>
      <w:r w:rsidR="007A1338">
        <w:t xml:space="preserve">Where city or county general plans cover lands within the SRA, the safety elements of those general plans must </w:t>
      </w:r>
      <w:r w:rsidR="007A1338" w:rsidRPr="007A1338">
        <w:t>address the risk of fire for land classified as</w:t>
      </w:r>
      <w:r w:rsidR="007A1338">
        <w:t xml:space="preserve"> SRA</w:t>
      </w:r>
      <w:r w:rsidR="007A1338" w:rsidRPr="007A1338">
        <w:t xml:space="preserve"> and land classified as very high </w:t>
      </w:r>
      <w:r w:rsidR="007A1338">
        <w:t>FHSZs</w:t>
      </w:r>
      <w:r w:rsidR="007A1338" w:rsidRPr="007A1338">
        <w:t xml:space="preserve">. </w:t>
      </w:r>
      <w:r w:rsidR="007A1338">
        <w:t>CAL FIRE</w:t>
      </w:r>
      <w:r w:rsidR="001D3666">
        <w:t>’</w:t>
      </w:r>
      <w:r w:rsidR="007A1338">
        <w:t>s</w:t>
      </w:r>
      <w:r w:rsidR="007A1338" w:rsidRPr="007A1338">
        <w:t xml:space="preserve"> review shall consider the advice included in the Office of Planning and Research</w:t>
      </w:r>
      <w:r w:rsidR="001D3666">
        <w:t>’</w:t>
      </w:r>
      <w:r w:rsidR="007A1338" w:rsidRPr="007A1338">
        <w:t xml:space="preserve">s most recent publication of </w:t>
      </w:r>
      <w:r w:rsidR="001D3666">
        <w:t>“</w:t>
      </w:r>
      <w:r w:rsidR="007A1338" w:rsidRPr="007A1338">
        <w:t>Fire Hazard Planning, General Plan Technical Advice Series</w:t>
      </w:r>
      <w:r w:rsidR="001D3666">
        <w:t>”</w:t>
      </w:r>
      <w:r w:rsidR="007A1338" w:rsidRPr="007A1338">
        <w:t xml:space="preserve"> and </w:t>
      </w:r>
      <w:r w:rsidR="007A1338">
        <w:t>other fire hazard-related topics as identified in California Government Code Section 65302(g)(3)</w:t>
      </w:r>
      <w:r w:rsidR="008C66C4">
        <w:t>. Additionally, development in SRA, very high FHSZs, or wildland-urban interface fire area must also comply with applicable buildings codes included in Chapter 7A, Materials and Construction Methods for Exterior Wildfire Exposure, of the California Building Code.</w:t>
      </w:r>
      <w:r w:rsidR="0008774E">
        <w:t xml:space="preserve"> Refer to Section </w:t>
      </w:r>
      <w:r w:rsidR="006318CE">
        <w:t>1.3</w:t>
      </w:r>
      <w:r w:rsidR="0008774E">
        <w:t xml:space="preserve"> in Chapter 1, </w:t>
      </w:r>
      <w:r w:rsidR="001D3666">
        <w:t>“</w:t>
      </w:r>
      <w:r w:rsidR="0008774E">
        <w:t>Introduction</w:t>
      </w:r>
      <w:r w:rsidR="005C3CE5">
        <w:t>,</w:t>
      </w:r>
      <w:r w:rsidR="001D3666">
        <w:t>”</w:t>
      </w:r>
      <w:r w:rsidR="0008774E">
        <w:t xml:space="preserve"> for additional information about land use planning programs intended to reduce wildfire risk. </w:t>
      </w:r>
    </w:p>
    <w:p w14:paraId="2B0B2C0D" w14:textId="5262BB89" w:rsidR="002B4412" w:rsidRDefault="002B4412" w:rsidP="002B4412">
      <w:pPr>
        <w:pStyle w:val="Heading5"/>
      </w:pPr>
      <w:r>
        <w:t>Community Wildfire Protection Plans</w:t>
      </w:r>
    </w:p>
    <w:p w14:paraId="5E7BC4D1" w14:textId="2A668FD7" w:rsidR="00ED6EBF" w:rsidRDefault="002B4412" w:rsidP="004E7E43">
      <w:pPr>
        <w:pStyle w:val="BodyText"/>
      </w:pPr>
      <w:r>
        <w:t>C</w:t>
      </w:r>
      <w:r w:rsidR="000802FE">
        <w:t>ommunities</w:t>
      </w:r>
      <w:r w:rsidR="004E7E43">
        <w:t xml:space="preserve"> at risk from wildland fire </w:t>
      </w:r>
      <w:r w:rsidR="000802FE">
        <w:t xml:space="preserve">can develop </w:t>
      </w:r>
      <w:r w:rsidR="000802FE" w:rsidRPr="000802FE">
        <w:t xml:space="preserve">Community Wildfire Protection Plans (CWPP) to plan how they will reduce </w:t>
      </w:r>
      <w:r w:rsidR="00792838">
        <w:t>wildfire</w:t>
      </w:r>
      <w:r w:rsidR="000802FE" w:rsidRPr="000802FE">
        <w:t xml:space="preserve"> risk. </w:t>
      </w:r>
      <w:r w:rsidR="00942B96" w:rsidRPr="00ED6EBF">
        <w:t xml:space="preserve">CAL FIRE </w:t>
      </w:r>
      <w:r w:rsidR="00942B96">
        <w:t xml:space="preserve">Units or Contract Counties prepare Fire Management Plans/Strategic Fire Plans (Unit Fire Plans), which also function as CWPPs. </w:t>
      </w:r>
      <w:r w:rsidR="004E7E43">
        <w:t xml:space="preserve">CWPPs must identify and prioritize areas for hazardous fuel reduction treatments across the landscape and jurisdictional boundaries and recommend the methods of treatment that will protect at-risk communities and structures. A CWPP must also recommend measures that homeowners can take to reduce the ignitability of structures throughout the area addressed by the plan. Preparation of CWPPs is a collaborative process that can include </w:t>
      </w:r>
      <w:r w:rsidR="000802FE">
        <w:t>local</w:t>
      </w:r>
      <w:r w:rsidR="004E7E43">
        <w:t>,</w:t>
      </w:r>
      <w:r w:rsidR="000802FE">
        <w:t xml:space="preserve"> state</w:t>
      </w:r>
      <w:r w:rsidR="004E7E43">
        <w:t>, and federal</w:t>
      </w:r>
      <w:r w:rsidR="000802FE">
        <w:t xml:space="preserve"> agencies</w:t>
      </w:r>
      <w:r w:rsidR="004E7E43">
        <w:t xml:space="preserve">; local fire districts; and other </w:t>
      </w:r>
      <w:r w:rsidR="000802FE">
        <w:t>interested parties. The local county, local fire district</w:t>
      </w:r>
      <w:r w:rsidR="004139B3">
        <w:t>,</w:t>
      </w:r>
      <w:r w:rsidR="000802FE">
        <w:t xml:space="preserve"> and </w:t>
      </w:r>
      <w:r w:rsidR="002D1C8D">
        <w:t xml:space="preserve">CAL </w:t>
      </w:r>
      <w:r w:rsidR="000802FE">
        <w:t>F</w:t>
      </w:r>
      <w:r w:rsidR="002D1C8D">
        <w:t>IRE</w:t>
      </w:r>
      <w:r w:rsidR="000802FE">
        <w:t xml:space="preserve"> must sign off on the final CWPP document.</w:t>
      </w:r>
      <w:r w:rsidR="004139B3">
        <w:t xml:space="preserve"> </w:t>
      </w:r>
      <w:r w:rsidR="001E0208">
        <w:t>Qualifying projects under the CalVTP may be identified in CWPPs</w:t>
      </w:r>
      <w:r w:rsidR="00A31C59">
        <w:t>.</w:t>
      </w:r>
    </w:p>
    <w:bookmarkEnd w:id="4"/>
    <w:p w14:paraId="2F262069" w14:textId="207EB097" w:rsidR="0002391A" w:rsidRDefault="0002391A" w:rsidP="008E0058">
      <w:pPr>
        <w:pStyle w:val="Heading4"/>
      </w:pPr>
      <w:r>
        <w:t>Population and Housing</w:t>
      </w:r>
    </w:p>
    <w:p w14:paraId="30ACC0BD" w14:textId="694CA813" w:rsidR="007F0F80" w:rsidRDefault="007F0F80" w:rsidP="0002391A">
      <w:pPr>
        <w:pStyle w:val="Heading5"/>
      </w:pPr>
      <w:r>
        <w:t xml:space="preserve">Population </w:t>
      </w:r>
    </w:p>
    <w:p w14:paraId="52D5F099" w14:textId="09BE1EEA" w:rsidR="00B425E5" w:rsidRDefault="000E4A07" w:rsidP="009A76B2">
      <w:pPr>
        <w:pStyle w:val="BodyText"/>
      </w:pPr>
      <w:r>
        <w:t xml:space="preserve">The existing and </w:t>
      </w:r>
      <w:r w:rsidRPr="00465332">
        <w:t>projected population for California and counties in the treatable landscape (</w:t>
      </w:r>
      <w:r w:rsidR="00DE5CA4" w:rsidRPr="00465332">
        <w:t>i.e., all counties except San Francisco</w:t>
      </w:r>
      <w:r w:rsidR="00922121">
        <w:t xml:space="preserve"> and Sutter, which do not contain SRA</w:t>
      </w:r>
      <w:r w:rsidR="00FF473E">
        <w:t xml:space="preserve"> land</w:t>
      </w:r>
      <w:r w:rsidR="00DE5CA4" w:rsidRPr="00465332">
        <w:t xml:space="preserve">) are provided in </w:t>
      </w:r>
      <w:r w:rsidR="009744DD" w:rsidRPr="00465332">
        <w:t>Table 3.12-</w:t>
      </w:r>
      <w:r w:rsidR="003F4646">
        <w:t>3</w:t>
      </w:r>
      <w:r w:rsidR="009744DD" w:rsidRPr="00465332">
        <w:t>.</w:t>
      </w:r>
      <w:r w:rsidR="009744DD">
        <w:t xml:space="preserve"> </w:t>
      </w:r>
      <w:r w:rsidR="003E101E">
        <w:t xml:space="preserve">Over the next </w:t>
      </w:r>
      <w:r w:rsidR="005B016A">
        <w:t>40 years, the state</w:t>
      </w:r>
      <w:r w:rsidR="001D3666">
        <w:t>’</w:t>
      </w:r>
      <w:r w:rsidR="005B016A">
        <w:t xml:space="preserve">s population is expected to grow by 28 percent. </w:t>
      </w:r>
      <w:r w:rsidR="00D141CA">
        <w:t xml:space="preserve">Seven counties are anticipated to grow by over 50 percent, including </w:t>
      </w:r>
      <w:r w:rsidR="00BB4CD5">
        <w:t>Imperial County</w:t>
      </w:r>
      <w:r w:rsidR="00870A83">
        <w:t xml:space="preserve"> in the south; Kern, Madera, Merced, San Joaquin, and Yolo Counties in the central valley; and </w:t>
      </w:r>
      <w:r w:rsidR="0024178D">
        <w:t>Placer County spanning from the central valley into the Sierra Nevada.</w:t>
      </w:r>
    </w:p>
    <w:p w14:paraId="6DBCA367" w14:textId="77777777" w:rsidR="00505F44" w:rsidRPr="00465332" w:rsidRDefault="00505F44" w:rsidP="00C7746D">
      <w:pPr>
        <w:pStyle w:val="TableHeader"/>
        <w:rPr>
          <w:color w:val="000000"/>
        </w:rPr>
      </w:pPr>
      <w:bookmarkStart w:id="6" w:name="_Toc23837152"/>
      <w:r w:rsidRPr="00465332">
        <w:lastRenderedPageBreak/>
        <w:t>Table 3.12-</w:t>
      </w:r>
      <w:r>
        <w:t>3</w:t>
      </w:r>
      <w:r>
        <w:tab/>
      </w:r>
      <w:r w:rsidRPr="00465332">
        <w:t>Existing and Projected Population for California and Counties in the Treatable Landscape</w:t>
      </w:r>
      <w:bookmarkEnd w:id="6"/>
    </w:p>
    <w:tbl>
      <w:tblPr>
        <w:tblW w:w="10080" w:type="dxa"/>
        <w:jc w:val="center"/>
        <w:tblBorders>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866"/>
        <w:gridCol w:w="924"/>
        <w:gridCol w:w="1170"/>
        <w:gridCol w:w="1170"/>
        <w:gridCol w:w="1170"/>
        <w:gridCol w:w="1170"/>
        <w:gridCol w:w="1170"/>
        <w:gridCol w:w="1440"/>
      </w:tblGrid>
      <w:tr w:rsidR="00505F44" w:rsidRPr="00465332" w14:paraId="105A9D77" w14:textId="77777777" w:rsidTr="00D114C8">
        <w:trPr>
          <w:trHeight w:val="20"/>
          <w:tblHeader/>
          <w:jc w:val="center"/>
        </w:trPr>
        <w:tc>
          <w:tcPr>
            <w:tcW w:w="1866" w:type="dxa"/>
            <w:tcBorders>
              <w:top w:val="single" w:sz="4" w:space="0" w:color="auto"/>
              <w:bottom w:val="single" w:sz="4" w:space="0" w:color="auto"/>
            </w:tcBorders>
            <w:shd w:val="clear" w:color="auto" w:fill="D9D9D9" w:themeFill="background1" w:themeFillShade="D9"/>
            <w:noWrap/>
            <w:vAlign w:val="center"/>
            <w:hideMark/>
          </w:tcPr>
          <w:p w14:paraId="4F409604" w14:textId="77777777" w:rsidR="00505F44" w:rsidRPr="00465332" w:rsidRDefault="00505F44" w:rsidP="00110E79">
            <w:pPr>
              <w:pStyle w:val="TableColumn"/>
              <w:keepNext/>
            </w:pPr>
            <w:r w:rsidRPr="00465332">
              <w:t>Population</w:t>
            </w:r>
          </w:p>
        </w:tc>
        <w:tc>
          <w:tcPr>
            <w:tcW w:w="924" w:type="dxa"/>
            <w:tcBorders>
              <w:top w:val="single" w:sz="4" w:space="0" w:color="auto"/>
              <w:bottom w:val="single" w:sz="4" w:space="0" w:color="auto"/>
            </w:tcBorders>
            <w:shd w:val="clear" w:color="auto" w:fill="D9D9D9" w:themeFill="background1" w:themeFillShade="D9"/>
            <w:noWrap/>
            <w:vAlign w:val="center"/>
            <w:hideMark/>
          </w:tcPr>
          <w:p w14:paraId="7BC7F350" w14:textId="77777777" w:rsidR="00505F44" w:rsidRPr="00465332" w:rsidRDefault="00505F44" w:rsidP="009051A8">
            <w:pPr>
              <w:pStyle w:val="TableColumn"/>
            </w:pPr>
            <w:r w:rsidRPr="00465332">
              <w:t>2018</w:t>
            </w:r>
          </w:p>
        </w:tc>
        <w:tc>
          <w:tcPr>
            <w:tcW w:w="1170" w:type="dxa"/>
            <w:tcBorders>
              <w:top w:val="single" w:sz="4" w:space="0" w:color="auto"/>
            </w:tcBorders>
            <w:shd w:val="clear" w:color="auto" w:fill="D9D9D9" w:themeFill="background1" w:themeFillShade="D9"/>
            <w:noWrap/>
            <w:vAlign w:val="center"/>
          </w:tcPr>
          <w:p w14:paraId="07B14A0E" w14:textId="50A58959" w:rsidR="00505F44" w:rsidRPr="00465332" w:rsidRDefault="00505F44" w:rsidP="009051A8">
            <w:pPr>
              <w:pStyle w:val="TableColumn"/>
            </w:pPr>
            <w:r w:rsidRPr="00465332">
              <w:t>Projections 2020</w:t>
            </w:r>
          </w:p>
        </w:tc>
        <w:tc>
          <w:tcPr>
            <w:tcW w:w="1170" w:type="dxa"/>
            <w:tcBorders>
              <w:top w:val="single" w:sz="4" w:space="0" w:color="auto"/>
            </w:tcBorders>
            <w:shd w:val="clear" w:color="auto" w:fill="D9D9D9" w:themeFill="background1" w:themeFillShade="D9"/>
            <w:vAlign w:val="center"/>
          </w:tcPr>
          <w:p w14:paraId="3772ADD0" w14:textId="52B7ADAE" w:rsidR="00505F44" w:rsidRPr="00465332" w:rsidRDefault="00505F44" w:rsidP="009051A8">
            <w:pPr>
              <w:pStyle w:val="TableColumn"/>
            </w:pPr>
            <w:r w:rsidRPr="00465332">
              <w:t>Projections 2030</w:t>
            </w:r>
          </w:p>
        </w:tc>
        <w:tc>
          <w:tcPr>
            <w:tcW w:w="1170" w:type="dxa"/>
            <w:tcBorders>
              <w:top w:val="single" w:sz="4" w:space="0" w:color="auto"/>
            </w:tcBorders>
            <w:shd w:val="clear" w:color="auto" w:fill="D9D9D9" w:themeFill="background1" w:themeFillShade="D9"/>
            <w:vAlign w:val="center"/>
          </w:tcPr>
          <w:p w14:paraId="4582DD47" w14:textId="787DBF78" w:rsidR="00505F44" w:rsidRPr="00465332" w:rsidRDefault="00505F44" w:rsidP="009051A8">
            <w:pPr>
              <w:pStyle w:val="TableColumn"/>
            </w:pPr>
            <w:r w:rsidRPr="00465332">
              <w:t>Projections 2040</w:t>
            </w:r>
          </w:p>
        </w:tc>
        <w:tc>
          <w:tcPr>
            <w:tcW w:w="1170" w:type="dxa"/>
            <w:tcBorders>
              <w:top w:val="single" w:sz="4" w:space="0" w:color="auto"/>
            </w:tcBorders>
            <w:shd w:val="clear" w:color="auto" w:fill="D9D9D9" w:themeFill="background1" w:themeFillShade="D9"/>
            <w:vAlign w:val="center"/>
          </w:tcPr>
          <w:p w14:paraId="486FC908" w14:textId="04EB7BF3" w:rsidR="00505F44" w:rsidRPr="00465332" w:rsidRDefault="00505F44" w:rsidP="009051A8">
            <w:pPr>
              <w:pStyle w:val="TableColumn"/>
            </w:pPr>
            <w:r w:rsidRPr="00465332">
              <w:t>Projections 2050</w:t>
            </w:r>
          </w:p>
        </w:tc>
        <w:tc>
          <w:tcPr>
            <w:tcW w:w="1170" w:type="dxa"/>
            <w:tcBorders>
              <w:top w:val="single" w:sz="4" w:space="0" w:color="auto"/>
            </w:tcBorders>
            <w:shd w:val="clear" w:color="auto" w:fill="D9D9D9" w:themeFill="background1" w:themeFillShade="D9"/>
            <w:vAlign w:val="center"/>
          </w:tcPr>
          <w:p w14:paraId="7CB8CA1D" w14:textId="5167AC8D" w:rsidR="00505F44" w:rsidRPr="00465332" w:rsidRDefault="00505F44" w:rsidP="009051A8">
            <w:pPr>
              <w:pStyle w:val="TableColumn"/>
            </w:pPr>
            <w:r w:rsidRPr="00465332">
              <w:t>Projections 2060</w:t>
            </w:r>
          </w:p>
        </w:tc>
        <w:tc>
          <w:tcPr>
            <w:tcW w:w="1440" w:type="dxa"/>
            <w:tcBorders>
              <w:top w:val="single" w:sz="4" w:space="0" w:color="auto"/>
              <w:bottom w:val="single" w:sz="4" w:space="0" w:color="auto"/>
            </w:tcBorders>
            <w:shd w:val="clear" w:color="auto" w:fill="D9D9D9" w:themeFill="background1" w:themeFillShade="D9"/>
            <w:noWrap/>
            <w:vAlign w:val="center"/>
            <w:hideMark/>
          </w:tcPr>
          <w:p w14:paraId="582EA41C" w14:textId="5CB8BC7D" w:rsidR="00505F44" w:rsidRPr="00465332" w:rsidRDefault="00505F44" w:rsidP="009051A8">
            <w:pPr>
              <w:pStyle w:val="TableColumn"/>
            </w:pPr>
            <w:r w:rsidRPr="00465332">
              <w:t xml:space="preserve">Population Growth </w:t>
            </w:r>
            <w:r>
              <w:br/>
            </w:r>
            <w:r w:rsidRPr="00465332">
              <w:t>(2018 – 2060)</w:t>
            </w:r>
          </w:p>
        </w:tc>
      </w:tr>
      <w:tr w:rsidR="00C7746D" w:rsidRPr="00465332" w14:paraId="3EA4D622" w14:textId="77777777" w:rsidTr="00D114C8">
        <w:trPr>
          <w:trHeight w:val="20"/>
          <w:jc w:val="center"/>
        </w:trPr>
        <w:tc>
          <w:tcPr>
            <w:tcW w:w="1866" w:type="dxa"/>
            <w:shd w:val="clear" w:color="auto" w:fill="auto"/>
            <w:noWrap/>
            <w:vAlign w:val="bottom"/>
            <w:hideMark/>
          </w:tcPr>
          <w:p w14:paraId="7F57A928" w14:textId="77777777" w:rsidR="00C7746D" w:rsidRPr="00D5629E" w:rsidRDefault="00C7746D" w:rsidP="00110E79">
            <w:pPr>
              <w:pStyle w:val="TableTextL"/>
              <w:keepNext/>
            </w:pPr>
            <w:r w:rsidRPr="00D5629E">
              <w:t>California</w:t>
            </w:r>
          </w:p>
        </w:tc>
        <w:tc>
          <w:tcPr>
            <w:tcW w:w="924" w:type="dxa"/>
            <w:shd w:val="clear" w:color="auto" w:fill="auto"/>
            <w:noWrap/>
            <w:vAlign w:val="center"/>
            <w:hideMark/>
          </w:tcPr>
          <w:p w14:paraId="610155F2" w14:textId="0A385D74" w:rsidR="00C7746D" w:rsidRPr="00465332" w:rsidRDefault="00C7746D" w:rsidP="00D5629E">
            <w:pPr>
              <w:pStyle w:val="TableText"/>
              <w:rPr>
                <w:color w:val="000000"/>
                <w:sz w:val="16"/>
                <w:szCs w:val="16"/>
              </w:rPr>
            </w:pPr>
            <w:r w:rsidRPr="00465332">
              <w:t>39,809,693</w:t>
            </w:r>
          </w:p>
        </w:tc>
        <w:tc>
          <w:tcPr>
            <w:tcW w:w="1170" w:type="dxa"/>
            <w:shd w:val="clear" w:color="auto" w:fill="auto"/>
            <w:noWrap/>
            <w:vAlign w:val="center"/>
            <w:hideMark/>
          </w:tcPr>
          <w:p w14:paraId="0B4B0CD8" w14:textId="7203261A" w:rsidR="00C7746D" w:rsidRPr="00465332" w:rsidRDefault="00C7746D" w:rsidP="00D5629E">
            <w:pPr>
              <w:pStyle w:val="TableText"/>
              <w:rPr>
                <w:color w:val="000000"/>
                <w:sz w:val="16"/>
                <w:szCs w:val="16"/>
              </w:rPr>
            </w:pPr>
            <w:r w:rsidRPr="00465332">
              <w:t>40,639,392</w:t>
            </w:r>
          </w:p>
        </w:tc>
        <w:tc>
          <w:tcPr>
            <w:tcW w:w="1170" w:type="dxa"/>
            <w:shd w:val="clear" w:color="auto" w:fill="auto"/>
            <w:noWrap/>
            <w:vAlign w:val="center"/>
            <w:hideMark/>
          </w:tcPr>
          <w:p w14:paraId="59386B78" w14:textId="22ED8324" w:rsidR="00C7746D" w:rsidRPr="00465332" w:rsidRDefault="00C7746D" w:rsidP="00D5629E">
            <w:pPr>
              <w:pStyle w:val="TableText"/>
              <w:rPr>
                <w:color w:val="000000"/>
                <w:sz w:val="16"/>
                <w:szCs w:val="16"/>
              </w:rPr>
            </w:pPr>
            <w:r w:rsidRPr="00465332">
              <w:t>43,939,250</w:t>
            </w:r>
          </w:p>
        </w:tc>
        <w:tc>
          <w:tcPr>
            <w:tcW w:w="1170" w:type="dxa"/>
            <w:shd w:val="clear" w:color="auto" w:fill="auto"/>
            <w:noWrap/>
            <w:vAlign w:val="center"/>
            <w:hideMark/>
          </w:tcPr>
          <w:p w14:paraId="647FD2DA" w14:textId="26A247CA" w:rsidR="00C7746D" w:rsidRPr="00465332" w:rsidRDefault="00C7746D" w:rsidP="00D5629E">
            <w:pPr>
              <w:pStyle w:val="TableText"/>
              <w:rPr>
                <w:color w:val="000000"/>
                <w:sz w:val="16"/>
                <w:szCs w:val="16"/>
              </w:rPr>
            </w:pPr>
            <w:r w:rsidRPr="00465332">
              <w:t>46,804,202</w:t>
            </w:r>
          </w:p>
        </w:tc>
        <w:tc>
          <w:tcPr>
            <w:tcW w:w="1170" w:type="dxa"/>
            <w:shd w:val="clear" w:color="auto" w:fill="auto"/>
            <w:noWrap/>
            <w:vAlign w:val="center"/>
            <w:hideMark/>
          </w:tcPr>
          <w:p w14:paraId="16C8E37E" w14:textId="7B6DF28D" w:rsidR="00C7746D" w:rsidRPr="00465332" w:rsidRDefault="00C7746D" w:rsidP="00D5629E">
            <w:pPr>
              <w:pStyle w:val="TableText"/>
              <w:rPr>
                <w:color w:val="000000"/>
                <w:sz w:val="16"/>
                <w:szCs w:val="16"/>
              </w:rPr>
            </w:pPr>
            <w:r w:rsidRPr="00465332">
              <w:t>49,077,801</w:t>
            </w:r>
          </w:p>
        </w:tc>
        <w:tc>
          <w:tcPr>
            <w:tcW w:w="1170" w:type="dxa"/>
            <w:shd w:val="clear" w:color="auto" w:fill="auto"/>
            <w:noWrap/>
            <w:vAlign w:val="center"/>
            <w:hideMark/>
          </w:tcPr>
          <w:p w14:paraId="33CC1AA3" w14:textId="28F07729" w:rsidR="00C7746D" w:rsidRPr="00465332" w:rsidRDefault="00C7746D" w:rsidP="00D5629E">
            <w:pPr>
              <w:pStyle w:val="TableText"/>
              <w:rPr>
                <w:color w:val="000000"/>
                <w:sz w:val="16"/>
                <w:szCs w:val="16"/>
              </w:rPr>
            </w:pPr>
            <w:r w:rsidRPr="00465332">
              <w:t>50,975,904</w:t>
            </w:r>
          </w:p>
        </w:tc>
        <w:tc>
          <w:tcPr>
            <w:tcW w:w="1440" w:type="dxa"/>
            <w:shd w:val="clear" w:color="auto" w:fill="auto"/>
            <w:noWrap/>
            <w:vAlign w:val="center"/>
            <w:hideMark/>
          </w:tcPr>
          <w:p w14:paraId="3826AC18" w14:textId="33724C43" w:rsidR="00C7746D" w:rsidRPr="00465332" w:rsidRDefault="00C7746D" w:rsidP="00D5629E">
            <w:pPr>
              <w:pStyle w:val="TableText"/>
              <w:rPr>
                <w:sz w:val="16"/>
                <w:szCs w:val="16"/>
              </w:rPr>
            </w:pPr>
            <w:r w:rsidRPr="00465332">
              <w:t>28%</w:t>
            </w:r>
          </w:p>
        </w:tc>
      </w:tr>
      <w:tr w:rsidR="00C7746D" w:rsidRPr="00465332" w14:paraId="0AD01556" w14:textId="77777777" w:rsidTr="00D114C8">
        <w:trPr>
          <w:trHeight w:val="20"/>
          <w:jc w:val="center"/>
        </w:trPr>
        <w:tc>
          <w:tcPr>
            <w:tcW w:w="1866" w:type="dxa"/>
            <w:shd w:val="clear" w:color="auto" w:fill="auto"/>
            <w:noWrap/>
            <w:vAlign w:val="bottom"/>
            <w:hideMark/>
          </w:tcPr>
          <w:p w14:paraId="54B79FC8" w14:textId="77777777" w:rsidR="00C7746D" w:rsidRPr="00D5629E" w:rsidRDefault="00C7746D" w:rsidP="00110E79">
            <w:pPr>
              <w:pStyle w:val="TableTextL"/>
              <w:keepNext/>
            </w:pPr>
            <w:r w:rsidRPr="00D5629E">
              <w:t>Alameda County</w:t>
            </w:r>
          </w:p>
        </w:tc>
        <w:tc>
          <w:tcPr>
            <w:tcW w:w="924" w:type="dxa"/>
            <w:shd w:val="clear" w:color="auto" w:fill="auto"/>
            <w:noWrap/>
            <w:vAlign w:val="center"/>
            <w:hideMark/>
          </w:tcPr>
          <w:p w14:paraId="237995CC" w14:textId="77777777" w:rsidR="00C7746D" w:rsidRPr="00465332" w:rsidRDefault="00C7746D" w:rsidP="00D5629E">
            <w:pPr>
              <w:pStyle w:val="TableText"/>
              <w:rPr>
                <w:color w:val="000000"/>
                <w:sz w:val="16"/>
                <w:szCs w:val="16"/>
              </w:rPr>
            </w:pPr>
            <w:r w:rsidRPr="00465332">
              <w:rPr>
                <w:color w:val="000000"/>
                <w:sz w:val="16"/>
                <w:szCs w:val="16"/>
              </w:rPr>
              <w:t>1,660,202</w:t>
            </w:r>
          </w:p>
        </w:tc>
        <w:tc>
          <w:tcPr>
            <w:tcW w:w="1170" w:type="dxa"/>
            <w:shd w:val="clear" w:color="auto" w:fill="auto"/>
            <w:noWrap/>
            <w:vAlign w:val="center"/>
            <w:hideMark/>
          </w:tcPr>
          <w:p w14:paraId="0A747A4B" w14:textId="77777777" w:rsidR="00C7746D" w:rsidRPr="00465332" w:rsidRDefault="00C7746D" w:rsidP="00D5629E">
            <w:pPr>
              <w:pStyle w:val="TableText"/>
              <w:rPr>
                <w:color w:val="000000"/>
                <w:sz w:val="16"/>
                <w:szCs w:val="16"/>
              </w:rPr>
            </w:pPr>
            <w:r w:rsidRPr="00465332">
              <w:rPr>
                <w:color w:val="000000"/>
                <w:sz w:val="16"/>
                <w:szCs w:val="16"/>
              </w:rPr>
              <w:t>1,703,660</w:t>
            </w:r>
          </w:p>
        </w:tc>
        <w:tc>
          <w:tcPr>
            <w:tcW w:w="1170" w:type="dxa"/>
            <w:shd w:val="clear" w:color="auto" w:fill="auto"/>
            <w:noWrap/>
            <w:vAlign w:val="center"/>
            <w:hideMark/>
          </w:tcPr>
          <w:p w14:paraId="31845827" w14:textId="77777777" w:rsidR="00C7746D" w:rsidRPr="00465332" w:rsidRDefault="00C7746D" w:rsidP="00D5629E">
            <w:pPr>
              <w:pStyle w:val="TableText"/>
              <w:rPr>
                <w:color w:val="000000"/>
                <w:sz w:val="16"/>
                <w:szCs w:val="16"/>
              </w:rPr>
            </w:pPr>
            <w:r w:rsidRPr="00465332">
              <w:rPr>
                <w:color w:val="000000"/>
                <w:sz w:val="16"/>
                <w:szCs w:val="16"/>
              </w:rPr>
              <w:t>1,873,622</w:t>
            </w:r>
          </w:p>
        </w:tc>
        <w:tc>
          <w:tcPr>
            <w:tcW w:w="1170" w:type="dxa"/>
            <w:shd w:val="clear" w:color="auto" w:fill="auto"/>
            <w:noWrap/>
            <w:vAlign w:val="center"/>
            <w:hideMark/>
          </w:tcPr>
          <w:p w14:paraId="3D369FE4" w14:textId="77777777" w:rsidR="00C7746D" w:rsidRPr="00465332" w:rsidRDefault="00C7746D" w:rsidP="00D5629E">
            <w:pPr>
              <w:pStyle w:val="TableText"/>
              <w:rPr>
                <w:color w:val="000000"/>
                <w:sz w:val="16"/>
                <w:szCs w:val="16"/>
              </w:rPr>
            </w:pPr>
            <w:r w:rsidRPr="00465332">
              <w:rPr>
                <w:color w:val="000000"/>
                <w:sz w:val="16"/>
                <w:szCs w:val="16"/>
              </w:rPr>
              <w:t>2,027,328</w:t>
            </w:r>
          </w:p>
        </w:tc>
        <w:tc>
          <w:tcPr>
            <w:tcW w:w="1170" w:type="dxa"/>
            <w:shd w:val="clear" w:color="auto" w:fill="auto"/>
            <w:noWrap/>
            <w:vAlign w:val="center"/>
            <w:hideMark/>
          </w:tcPr>
          <w:p w14:paraId="73A0D1DB" w14:textId="77777777" w:rsidR="00C7746D" w:rsidRPr="00465332" w:rsidRDefault="00C7746D" w:rsidP="00D5629E">
            <w:pPr>
              <w:pStyle w:val="TableText"/>
              <w:rPr>
                <w:color w:val="000000"/>
                <w:sz w:val="16"/>
                <w:szCs w:val="16"/>
              </w:rPr>
            </w:pPr>
            <w:r w:rsidRPr="00465332">
              <w:rPr>
                <w:color w:val="000000"/>
                <w:sz w:val="16"/>
                <w:szCs w:val="16"/>
              </w:rPr>
              <w:t>2,154,848</w:t>
            </w:r>
          </w:p>
        </w:tc>
        <w:tc>
          <w:tcPr>
            <w:tcW w:w="1170" w:type="dxa"/>
            <w:shd w:val="clear" w:color="auto" w:fill="auto"/>
            <w:noWrap/>
            <w:vAlign w:val="center"/>
            <w:hideMark/>
          </w:tcPr>
          <w:p w14:paraId="7B9FAB34" w14:textId="77777777" w:rsidR="00C7746D" w:rsidRPr="00465332" w:rsidRDefault="00C7746D" w:rsidP="00D5629E">
            <w:pPr>
              <w:pStyle w:val="TableText"/>
              <w:rPr>
                <w:color w:val="000000"/>
                <w:sz w:val="16"/>
                <w:szCs w:val="16"/>
              </w:rPr>
            </w:pPr>
            <w:r w:rsidRPr="00465332">
              <w:rPr>
                <w:color w:val="000000"/>
                <w:sz w:val="16"/>
                <w:szCs w:val="16"/>
              </w:rPr>
              <w:t>2,260,737</w:t>
            </w:r>
          </w:p>
        </w:tc>
        <w:tc>
          <w:tcPr>
            <w:tcW w:w="1440" w:type="dxa"/>
            <w:shd w:val="clear" w:color="auto" w:fill="auto"/>
            <w:noWrap/>
            <w:vAlign w:val="center"/>
            <w:hideMark/>
          </w:tcPr>
          <w:p w14:paraId="3777D26B" w14:textId="77777777" w:rsidR="00C7746D" w:rsidRPr="00465332" w:rsidRDefault="00C7746D" w:rsidP="00D5629E">
            <w:pPr>
              <w:pStyle w:val="TableText"/>
              <w:rPr>
                <w:sz w:val="16"/>
                <w:szCs w:val="16"/>
              </w:rPr>
            </w:pPr>
            <w:r w:rsidRPr="00465332">
              <w:rPr>
                <w:sz w:val="16"/>
                <w:szCs w:val="16"/>
              </w:rPr>
              <w:t>36%</w:t>
            </w:r>
          </w:p>
        </w:tc>
      </w:tr>
      <w:tr w:rsidR="00C7746D" w:rsidRPr="00465332" w14:paraId="51D5C55E" w14:textId="77777777" w:rsidTr="00D114C8">
        <w:trPr>
          <w:trHeight w:val="20"/>
          <w:jc w:val="center"/>
        </w:trPr>
        <w:tc>
          <w:tcPr>
            <w:tcW w:w="1866" w:type="dxa"/>
            <w:shd w:val="clear" w:color="auto" w:fill="auto"/>
            <w:noWrap/>
            <w:vAlign w:val="bottom"/>
            <w:hideMark/>
          </w:tcPr>
          <w:p w14:paraId="6BCF3C23" w14:textId="77777777" w:rsidR="00C7746D" w:rsidRPr="00D5629E" w:rsidRDefault="00C7746D" w:rsidP="00110E79">
            <w:pPr>
              <w:pStyle w:val="TableTextL"/>
              <w:keepNext/>
            </w:pPr>
            <w:r w:rsidRPr="00D5629E">
              <w:t>Alpine County</w:t>
            </w:r>
          </w:p>
        </w:tc>
        <w:tc>
          <w:tcPr>
            <w:tcW w:w="924" w:type="dxa"/>
            <w:shd w:val="clear" w:color="auto" w:fill="auto"/>
            <w:noWrap/>
            <w:vAlign w:val="center"/>
            <w:hideMark/>
          </w:tcPr>
          <w:p w14:paraId="0842F7E4" w14:textId="77777777" w:rsidR="00C7746D" w:rsidRPr="00465332" w:rsidRDefault="00C7746D" w:rsidP="00D5629E">
            <w:pPr>
              <w:pStyle w:val="TableText"/>
              <w:rPr>
                <w:color w:val="000000"/>
                <w:sz w:val="16"/>
                <w:szCs w:val="16"/>
              </w:rPr>
            </w:pPr>
            <w:r w:rsidRPr="00465332">
              <w:rPr>
                <w:color w:val="000000"/>
                <w:sz w:val="16"/>
                <w:szCs w:val="16"/>
              </w:rPr>
              <w:t>1,154</w:t>
            </w:r>
          </w:p>
        </w:tc>
        <w:tc>
          <w:tcPr>
            <w:tcW w:w="1170" w:type="dxa"/>
            <w:shd w:val="clear" w:color="auto" w:fill="auto"/>
            <w:noWrap/>
            <w:vAlign w:val="center"/>
            <w:hideMark/>
          </w:tcPr>
          <w:p w14:paraId="0C2C8BF8" w14:textId="77777777" w:rsidR="00C7746D" w:rsidRPr="00465332" w:rsidRDefault="00C7746D" w:rsidP="00D5629E">
            <w:pPr>
              <w:pStyle w:val="TableText"/>
              <w:rPr>
                <w:color w:val="000000"/>
                <w:sz w:val="16"/>
                <w:szCs w:val="16"/>
              </w:rPr>
            </w:pPr>
            <w:r w:rsidRPr="00465332">
              <w:rPr>
                <w:color w:val="000000"/>
                <w:sz w:val="16"/>
                <w:szCs w:val="16"/>
              </w:rPr>
              <w:t>1,107</w:t>
            </w:r>
          </w:p>
        </w:tc>
        <w:tc>
          <w:tcPr>
            <w:tcW w:w="1170" w:type="dxa"/>
            <w:shd w:val="clear" w:color="auto" w:fill="auto"/>
            <w:noWrap/>
            <w:vAlign w:val="center"/>
            <w:hideMark/>
          </w:tcPr>
          <w:p w14:paraId="24026E08" w14:textId="77777777" w:rsidR="00C7746D" w:rsidRPr="00465332" w:rsidRDefault="00C7746D" w:rsidP="00D5629E">
            <w:pPr>
              <w:pStyle w:val="TableText"/>
              <w:rPr>
                <w:color w:val="000000"/>
                <w:sz w:val="16"/>
                <w:szCs w:val="16"/>
              </w:rPr>
            </w:pPr>
            <w:r w:rsidRPr="00465332">
              <w:rPr>
                <w:color w:val="000000"/>
                <w:sz w:val="16"/>
                <w:szCs w:val="16"/>
              </w:rPr>
              <w:t>1,134</w:t>
            </w:r>
          </w:p>
        </w:tc>
        <w:tc>
          <w:tcPr>
            <w:tcW w:w="1170" w:type="dxa"/>
            <w:shd w:val="clear" w:color="auto" w:fill="auto"/>
            <w:noWrap/>
            <w:vAlign w:val="center"/>
            <w:hideMark/>
          </w:tcPr>
          <w:p w14:paraId="0C43E095" w14:textId="77777777" w:rsidR="00C7746D" w:rsidRPr="00465332" w:rsidRDefault="00C7746D" w:rsidP="00D5629E">
            <w:pPr>
              <w:pStyle w:val="TableText"/>
              <w:rPr>
                <w:color w:val="000000"/>
                <w:sz w:val="16"/>
                <w:szCs w:val="16"/>
              </w:rPr>
            </w:pPr>
            <w:r w:rsidRPr="00465332">
              <w:rPr>
                <w:color w:val="000000"/>
                <w:sz w:val="16"/>
                <w:szCs w:val="16"/>
              </w:rPr>
              <w:t>1,145</w:t>
            </w:r>
          </w:p>
        </w:tc>
        <w:tc>
          <w:tcPr>
            <w:tcW w:w="1170" w:type="dxa"/>
            <w:shd w:val="clear" w:color="auto" w:fill="auto"/>
            <w:noWrap/>
            <w:vAlign w:val="center"/>
            <w:hideMark/>
          </w:tcPr>
          <w:p w14:paraId="230B6609" w14:textId="77777777" w:rsidR="00C7746D" w:rsidRPr="00465332" w:rsidRDefault="00C7746D" w:rsidP="00D5629E">
            <w:pPr>
              <w:pStyle w:val="TableText"/>
              <w:rPr>
                <w:color w:val="000000"/>
                <w:sz w:val="16"/>
                <w:szCs w:val="16"/>
              </w:rPr>
            </w:pPr>
            <w:r w:rsidRPr="00465332">
              <w:rPr>
                <w:color w:val="000000"/>
                <w:sz w:val="16"/>
                <w:szCs w:val="16"/>
              </w:rPr>
              <w:t>1,085</w:t>
            </w:r>
          </w:p>
        </w:tc>
        <w:tc>
          <w:tcPr>
            <w:tcW w:w="1170" w:type="dxa"/>
            <w:shd w:val="clear" w:color="auto" w:fill="auto"/>
            <w:noWrap/>
            <w:vAlign w:val="center"/>
            <w:hideMark/>
          </w:tcPr>
          <w:p w14:paraId="075619B3" w14:textId="77777777" w:rsidR="00C7746D" w:rsidRPr="00465332" w:rsidRDefault="00C7746D" w:rsidP="00D5629E">
            <w:pPr>
              <w:pStyle w:val="TableText"/>
              <w:rPr>
                <w:color w:val="000000"/>
                <w:sz w:val="16"/>
                <w:szCs w:val="16"/>
              </w:rPr>
            </w:pPr>
            <w:r w:rsidRPr="00465332">
              <w:rPr>
                <w:color w:val="000000"/>
                <w:sz w:val="16"/>
                <w:szCs w:val="16"/>
              </w:rPr>
              <w:t>1,031</w:t>
            </w:r>
          </w:p>
        </w:tc>
        <w:tc>
          <w:tcPr>
            <w:tcW w:w="1440" w:type="dxa"/>
            <w:shd w:val="clear" w:color="auto" w:fill="auto"/>
            <w:noWrap/>
            <w:vAlign w:val="center"/>
            <w:hideMark/>
          </w:tcPr>
          <w:p w14:paraId="0D24A4DF" w14:textId="77777777" w:rsidR="00C7746D" w:rsidRPr="00465332" w:rsidRDefault="00C7746D" w:rsidP="00D5629E">
            <w:pPr>
              <w:pStyle w:val="TableText"/>
              <w:rPr>
                <w:sz w:val="16"/>
                <w:szCs w:val="16"/>
              </w:rPr>
            </w:pPr>
            <w:r w:rsidRPr="00465332">
              <w:rPr>
                <w:sz w:val="16"/>
                <w:szCs w:val="16"/>
              </w:rPr>
              <w:t>-11%</w:t>
            </w:r>
          </w:p>
        </w:tc>
      </w:tr>
      <w:tr w:rsidR="00C7746D" w:rsidRPr="00465332" w14:paraId="2FECFB84" w14:textId="77777777" w:rsidTr="00D114C8">
        <w:trPr>
          <w:trHeight w:val="20"/>
          <w:jc w:val="center"/>
        </w:trPr>
        <w:tc>
          <w:tcPr>
            <w:tcW w:w="1866" w:type="dxa"/>
            <w:shd w:val="clear" w:color="auto" w:fill="auto"/>
            <w:noWrap/>
            <w:vAlign w:val="bottom"/>
            <w:hideMark/>
          </w:tcPr>
          <w:p w14:paraId="1101967F" w14:textId="77777777" w:rsidR="00C7746D" w:rsidRPr="00D5629E" w:rsidRDefault="00C7746D" w:rsidP="00D5629E">
            <w:pPr>
              <w:pStyle w:val="TableTextL"/>
            </w:pPr>
            <w:r w:rsidRPr="00D5629E">
              <w:t>Amador County</w:t>
            </w:r>
          </w:p>
        </w:tc>
        <w:tc>
          <w:tcPr>
            <w:tcW w:w="924" w:type="dxa"/>
            <w:shd w:val="clear" w:color="auto" w:fill="auto"/>
            <w:noWrap/>
            <w:vAlign w:val="center"/>
            <w:hideMark/>
          </w:tcPr>
          <w:p w14:paraId="04F73678" w14:textId="77777777" w:rsidR="00C7746D" w:rsidRPr="00465332" w:rsidRDefault="00C7746D" w:rsidP="00D5629E">
            <w:pPr>
              <w:pStyle w:val="TableText"/>
              <w:rPr>
                <w:color w:val="000000"/>
                <w:sz w:val="16"/>
                <w:szCs w:val="16"/>
              </w:rPr>
            </w:pPr>
            <w:r w:rsidRPr="00465332">
              <w:rPr>
                <w:color w:val="000000"/>
                <w:sz w:val="16"/>
                <w:szCs w:val="16"/>
              </w:rPr>
              <w:t>38,094</w:t>
            </w:r>
          </w:p>
        </w:tc>
        <w:tc>
          <w:tcPr>
            <w:tcW w:w="1170" w:type="dxa"/>
            <w:shd w:val="clear" w:color="auto" w:fill="auto"/>
            <w:noWrap/>
            <w:vAlign w:val="center"/>
            <w:hideMark/>
          </w:tcPr>
          <w:p w14:paraId="1AF15324" w14:textId="77777777" w:rsidR="00C7746D" w:rsidRPr="00465332" w:rsidRDefault="00C7746D" w:rsidP="00D5629E">
            <w:pPr>
              <w:pStyle w:val="TableText"/>
              <w:rPr>
                <w:color w:val="000000"/>
                <w:sz w:val="16"/>
                <w:szCs w:val="16"/>
              </w:rPr>
            </w:pPr>
            <w:r w:rsidRPr="00465332">
              <w:rPr>
                <w:color w:val="000000"/>
                <w:sz w:val="16"/>
                <w:szCs w:val="16"/>
              </w:rPr>
              <w:t>37,560</w:t>
            </w:r>
          </w:p>
        </w:tc>
        <w:tc>
          <w:tcPr>
            <w:tcW w:w="1170" w:type="dxa"/>
            <w:shd w:val="clear" w:color="auto" w:fill="auto"/>
            <w:noWrap/>
            <w:vAlign w:val="center"/>
            <w:hideMark/>
          </w:tcPr>
          <w:p w14:paraId="370F52BD" w14:textId="77777777" w:rsidR="00C7746D" w:rsidRPr="00465332" w:rsidRDefault="00C7746D" w:rsidP="00D5629E">
            <w:pPr>
              <w:pStyle w:val="TableText"/>
              <w:rPr>
                <w:color w:val="000000"/>
                <w:sz w:val="16"/>
                <w:szCs w:val="16"/>
              </w:rPr>
            </w:pPr>
            <w:r w:rsidRPr="00465332">
              <w:rPr>
                <w:color w:val="000000"/>
                <w:sz w:val="16"/>
                <w:szCs w:val="16"/>
              </w:rPr>
              <w:t>39,917</w:t>
            </w:r>
          </w:p>
        </w:tc>
        <w:tc>
          <w:tcPr>
            <w:tcW w:w="1170" w:type="dxa"/>
            <w:shd w:val="clear" w:color="auto" w:fill="auto"/>
            <w:noWrap/>
            <w:vAlign w:val="center"/>
            <w:hideMark/>
          </w:tcPr>
          <w:p w14:paraId="61E5DB26" w14:textId="77777777" w:rsidR="00C7746D" w:rsidRPr="00465332" w:rsidRDefault="00C7746D" w:rsidP="00D5629E">
            <w:pPr>
              <w:pStyle w:val="TableText"/>
              <w:rPr>
                <w:color w:val="000000"/>
                <w:sz w:val="16"/>
                <w:szCs w:val="16"/>
              </w:rPr>
            </w:pPr>
            <w:r w:rsidRPr="00465332">
              <w:rPr>
                <w:color w:val="000000"/>
                <w:sz w:val="16"/>
                <w:szCs w:val="16"/>
              </w:rPr>
              <w:t>41,502</w:t>
            </w:r>
          </w:p>
        </w:tc>
        <w:tc>
          <w:tcPr>
            <w:tcW w:w="1170" w:type="dxa"/>
            <w:shd w:val="clear" w:color="auto" w:fill="auto"/>
            <w:noWrap/>
            <w:vAlign w:val="center"/>
            <w:hideMark/>
          </w:tcPr>
          <w:p w14:paraId="4A152D60" w14:textId="77777777" w:rsidR="00C7746D" w:rsidRPr="00465332" w:rsidRDefault="00C7746D" w:rsidP="00D5629E">
            <w:pPr>
              <w:pStyle w:val="TableText"/>
              <w:rPr>
                <w:color w:val="000000"/>
                <w:sz w:val="16"/>
                <w:szCs w:val="16"/>
              </w:rPr>
            </w:pPr>
            <w:r w:rsidRPr="00465332">
              <w:rPr>
                <w:color w:val="000000"/>
                <w:sz w:val="16"/>
                <w:szCs w:val="16"/>
              </w:rPr>
              <w:t>42,494</w:t>
            </w:r>
          </w:p>
        </w:tc>
        <w:tc>
          <w:tcPr>
            <w:tcW w:w="1170" w:type="dxa"/>
            <w:shd w:val="clear" w:color="auto" w:fill="auto"/>
            <w:noWrap/>
            <w:vAlign w:val="center"/>
            <w:hideMark/>
          </w:tcPr>
          <w:p w14:paraId="297A9D49" w14:textId="77777777" w:rsidR="00C7746D" w:rsidRPr="00465332" w:rsidRDefault="00C7746D" w:rsidP="00D5629E">
            <w:pPr>
              <w:pStyle w:val="TableText"/>
              <w:rPr>
                <w:color w:val="000000"/>
                <w:sz w:val="16"/>
                <w:szCs w:val="16"/>
              </w:rPr>
            </w:pPr>
            <w:r w:rsidRPr="00465332">
              <w:rPr>
                <w:color w:val="000000"/>
                <w:sz w:val="16"/>
                <w:szCs w:val="16"/>
              </w:rPr>
              <w:t>44,028</w:t>
            </w:r>
          </w:p>
        </w:tc>
        <w:tc>
          <w:tcPr>
            <w:tcW w:w="1440" w:type="dxa"/>
            <w:shd w:val="clear" w:color="auto" w:fill="auto"/>
            <w:noWrap/>
            <w:vAlign w:val="center"/>
            <w:hideMark/>
          </w:tcPr>
          <w:p w14:paraId="5FF0B217" w14:textId="77777777" w:rsidR="00C7746D" w:rsidRPr="00465332" w:rsidRDefault="00C7746D" w:rsidP="00D5629E">
            <w:pPr>
              <w:pStyle w:val="TableText"/>
              <w:rPr>
                <w:sz w:val="16"/>
                <w:szCs w:val="16"/>
              </w:rPr>
            </w:pPr>
            <w:r w:rsidRPr="00465332">
              <w:rPr>
                <w:sz w:val="16"/>
                <w:szCs w:val="16"/>
              </w:rPr>
              <w:t>16%</w:t>
            </w:r>
          </w:p>
        </w:tc>
      </w:tr>
      <w:tr w:rsidR="00C7746D" w:rsidRPr="00465332" w14:paraId="17E8410D" w14:textId="77777777" w:rsidTr="00D114C8">
        <w:trPr>
          <w:trHeight w:val="20"/>
          <w:jc w:val="center"/>
        </w:trPr>
        <w:tc>
          <w:tcPr>
            <w:tcW w:w="1866" w:type="dxa"/>
            <w:tcBorders>
              <w:bottom w:val="single" w:sz="4" w:space="0" w:color="auto"/>
            </w:tcBorders>
            <w:shd w:val="clear" w:color="auto" w:fill="auto"/>
            <w:noWrap/>
            <w:vAlign w:val="bottom"/>
            <w:hideMark/>
          </w:tcPr>
          <w:p w14:paraId="3179C4A8" w14:textId="77777777" w:rsidR="00C7746D" w:rsidRPr="00D5629E" w:rsidRDefault="00C7746D" w:rsidP="00D5629E">
            <w:pPr>
              <w:pStyle w:val="TableTextL"/>
            </w:pPr>
            <w:r w:rsidRPr="00D5629E">
              <w:t>Butte County</w:t>
            </w:r>
          </w:p>
        </w:tc>
        <w:tc>
          <w:tcPr>
            <w:tcW w:w="924" w:type="dxa"/>
            <w:tcBorders>
              <w:bottom w:val="single" w:sz="4" w:space="0" w:color="auto"/>
            </w:tcBorders>
            <w:shd w:val="clear" w:color="auto" w:fill="auto"/>
            <w:noWrap/>
            <w:vAlign w:val="center"/>
            <w:hideMark/>
          </w:tcPr>
          <w:p w14:paraId="277A225F" w14:textId="77777777" w:rsidR="00C7746D" w:rsidRPr="00465332" w:rsidRDefault="00C7746D" w:rsidP="00D5629E">
            <w:pPr>
              <w:pStyle w:val="TableText"/>
              <w:rPr>
                <w:color w:val="000000"/>
                <w:sz w:val="16"/>
                <w:szCs w:val="16"/>
              </w:rPr>
            </w:pPr>
            <w:r w:rsidRPr="00465332">
              <w:rPr>
                <w:color w:val="000000"/>
                <w:sz w:val="16"/>
                <w:szCs w:val="16"/>
              </w:rPr>
              <w:t>227,621</w:t>
            </w:r>
          </w:p>
        </w:tc>
        <w:tc>
          <w:tcPr>
            <w:tcW w:w="1170" w:type="dxa"/>
            <w:tcBorders>
              <w:bottom w:val="single" w:sz="4" w:space="0" w:color="auto"/>
            </w:tcBorders>
            <w:shd w:val="clear" w:color="auto" w:fill="auto"/>
            <w:noWrap/>
            <w:vAlign w:val="center"/>
            <w:hideMark/>
          </w:tcPr>
          <w:p w14:paraId="138558FA" w14:textId="77777777" w:rsidR="00C7746D" w:rsidRPr="00465332" w:rsidRDefault="00C7746D" w:rsidP="00D5629E">
            <w:pPr>
              <w:pStyle w:val="TableText"/>
              <w:rPr>
                <w:color w:val="000000"/>
                <w:sz w:val="16"/>
                <w:szCs w:val="16"/>
              </w:rPr>
            </w:pPr>
            <w:r w:rsidRPr="00465332">
              <w:rPr>
                <w:color w:val="000000"/>
                <w:sz w:val="16"/>
                <w:szCs w:val="16"/>
              </w:rPr>
              <w:t>230,701</w:t>
            </w:r>
          </w:p>
        </w:tc>
        <w:tc>
          <w:tcPr>
            <w:tcW w:w="1170" w:type="dxa"/>
            <w:tcBorders>
              <w:bottom w:val="single" w:sz="4" w:space="0" w:color="auto"/>
            </w:tcBorders>
            <w:shd w:val="clear" w:color="auto" w:fill="auto"/>
            <w:noWrap/>
            <w:vAlign w:val="center"/>
            <w:hideMark/>
          </w:tcPr>
          <w:p w14:paraId="7DB326B7" w14:textId="77777777" w:rsidR="00C7746D" w:rsidRPr="00465332" w:rsidRDefault="00C7746D" w:rsidP="00D5629E">
            <w:pPr>
              <w:pStyle w:val="TableText"/>
              <w:rPr>
                <w:color w:val="000000"/>
                <w:sz w:val="16"/>
                <w:szCs w:val="16"/>
              </w:rPr>
            </w:pPr>
            <w:r w:rsidRPr="00465332">
              <w:rPr>
                <w:color w:val="000000"/>
                <w:sz w:val="16"/>
                <w:szCs w:val="16"/>
              </w:rPr>
              <w:t>247,331</w:t>
            </w:r>
          </w:p>
        </w:tc>
        <w:tc>
          <w:tcPr>
            <w:tcW w:w="1170" w:type="dxa"/>
            <w:tcBorders>
              <w:bottom w:val="single" w:sz="4" w:space="0" w:color="auto"/>
            </w:tcBorders>
            <w:shd w:val="clear" w:color="auto" w:fill="auto"/>
            <w:noWrap/>
            <w:vAlign w:val="center"/>
            <w:hideMark/>
          </w:tcPr>
          <w:p w14:paraId="5CE127A6" w14:textId="77777777" w:rsidR="00C7746D" w:rsidRPr="00465332" w:rsidRDefault="00C7746D" w:rsidP="00D5629E">
            <w:pPr>
              <w:pStyle w:val="TableText"/>
              <w:rPr>
                <w:color w:val="000000"/>
                <w:sz w:val="16"/>
                <w:szCs w:val="16"/>
              </w:rPr>
            </w:pPr>
            <w:r w:rsidRPr="00465332">
              <w:rPr>
                <w:color w:val="000000"/>
                <w:sz w:val="16"/>
                <w:szCs w:val="16"/>
              </w:rPr>
              <w:t>263,634</w:t>
            </w:r>
          </w:p>
        </w:tc>
        <w:tc>
          <w:tcPr>
            <w:tcW w:w="1170" w:type="dxa"/>
            <w:tcBorders>
              <w:bottom w:val="single" w:sz="4" w:space="0" w:color="auto"/>
            </w:tcBorders>
            <w:shd w:val="clear" w:color="auto" w:fill="auto"/>
            <w:noWrap/>
            <w:vAlign w:val="center"/>
            <w:hideMark/>
          </w:tcPr>
          <w:p w14:paraId="44BAFE2B" w14:textId="77777777" w:rsidR="00C7746D" w:rsidRPr="00465332" w:rsidRDefault="00C7746D" w:rsidP="00D5629E">
            <w:pPr>
              <w:pStyle w:val="TableText"/>
              <w:rPr>
                <w:color w:val="000000"/>
                <w:sz w:val="16"/>
                <w:szCs w:val="16"/>
              </w:rPr>
            </w:pPr>
            <w:r w:rsidRPr="00465332">
              <w:rPr>
                <w:color w:val="000000"/>
                <w:sz w:val="16"/>
                <w:szCs w:val="16"/>
              </w:rPr>
              <w:t>277,504</w:t>
            </w:r>
          </w:p>
        </w:tc>
        <w:tc>
          <w:tcPr>
            <w:tcW w:w="1170" w:type="dxa"/>
            <w:tcBorders>
              <w:bottom w:val="single" w:sz="4" w:space="0" w:color="auto"/>
            </w:tcBorders>
            <w:shd w:val="clear" w:color="auto" w:fill="auto"/>
            <w:noWrap/>
            <w:vAlign w:val="center"/>
            <w:hideMark/>
          </w:tcPr>
          <w:p w14:paraId="54B5A2EB" w14:textId="77777777" w:rsidR="00C7746D" w:rsidRPr="00465332" w:rsidRDefault="00C7746D" w:rsidP="00D5629E">
            <w:pPr>
              <w:pStyle w:val="TableText"/>
              <w:rPr>
                <w:color w:val="000000"/>
                <w:sz w:val="16"/>
                <w:szCs w:val="16"/>
              </w:rPr>
            </w:pPr>
            <w:r w:rsidRPr="00465332">
              <w:rPr>
                <w:color w:val="000000"/>
                <w:sz w:val="16"/>
                <w:szCs w:val="16"/>
              </w:rPr>
              <w:t>292,884</w:t>
            </w:r>
          </w:p>
        </w:tc>
        <w:tc>
          <w:tcPr>
            <w:tcW w:w="1440" w:type="dxa"/>
            <w:tcBorders>
              <w:bottom w:val="single" w:sz="4" w:space="0" w:color="auto"/>
            </w:tcBorders>
            <w:shd w:val="clear" w:color="auto" w:fill="auto"/>
            <w:noWrap/>
            <w:vAlign w:val="center"/>
            <w:hideMark/>
          </w:tcPr>
          <w:p w14:paraId="5737EF68" w14:textId="77777777" w:rsidR="00C7746D" w:rsidRPr="00465332" w:rsidRDefault="00C7746D" w:rsidP="00D5629E">
            <w:pPr>
              <w:pStyle w:val="TableText"/>
              <w:rPr>
                <w:sz w:val="16"/>
                <w:szCs w:val="16"/>
              </w:rPr>
            </w:pPr>
            <w:r w:rsidRPr="00465332">
              <w:rPr>
                <w:sz w:val="16"/>
                <w:szCs w:val="16"/>
              </w:rPr>
              <w:t>29%</w:t>
            </w:r>
          </w:p>
        </w:tc>
      </w:tr>
      <w:tr w:rsidR="00C7746D" w:rsidRPr="00465332" w14:paraId="0C255E34" w14:textId="77777777" w:rsidTr="00D114C8">
        <w:trPr>
          <w:trHeight w:val="20"/>
          <w:jc w:val="center"/>
        </w:trPr>
        <w:tc>
          <w:tcPr>
            <w:tcW w:w="1866" w:type="dxa"/>
            <w:tcBorders>
              <w:top w:val="single" w:sz="4" w:space="0" w:color="auto"/>
              <w:bottom w:val="single" w:sz="4" w:space="0" w:color="auto"/>
            </w:tcBorders>
            <w:shd w:val="clear" w:color="auto" w:fill="auto"/>
            <w:noWrap/>
            <w:vAlign w:val="bottom"/>
            <w:hideMark/>
          </w:tcPr>
          <w:p w14:paraId="44144226" w14:textId="77777777" w:rsidR="00C7746D" w:rsidRPr="00D5629E" w:rsidRDefault="00C7746D" w:rsidP="00D5629E">
            <w:pPr>
              <w:pStyle w:val="TableTextL"/>
            </w:pPr>
            <w:r w:rsidRPr="00D5629E">
              <w:t>Calaveras County</w:t>
            </w:r>
          </w:p>
        </w:tc>
        <w:tc>
          <w:tcPr>
            <w:tcW w:w="924" w:type="dxa"/>
            <w:tcBorders>
              <w:top w:val="single" w:sz="4" w:space="0" w:color="auto"/>
              <w:bottom w:val="single" w:sz="4" w:space="0" w:color="auto"/>
            </w:tcBorders>
            <w:shd w:val="clear" w:color="auto" w:fill="auto"/>
            <w:noWrap/>
            <w:vAlign w:val="center"/>
            <w:hideMark/>
          </w:tcPr>
          <w:p w14:paraId="583A8F02" w14:textId="77777777" w:rsidR="00C7746D" w:rsidRPr="00465332" w:rsidRDefault="00C7746D" w:rsidP="00D5629E">
            <w:pPr>
              <w:pStyle w:val="TableText"/>
              <w:rPr>
                <w:color w:val="000000"/>
                <w:sz w:val="16"/>
                <w:szCs w:val="16"/>
              </w:rPr>
            </w:pPr>
            <w:r w:rsidRPr="00465332">
              <w:rPr>
                <w:color w:val="000000"/>
                <w:sz w:val="16"/>
                <w:szCs w:val="16"/>
              </w:rPr>
              <w:t>45,157</w:t>
            </w:r>
          </w:p>
        </w:tc>
        <w:tc>
          <w:tcPr>
            <w:tcW w:w="1170" w:type="dxa"/>
            <w:tcBorders>
              <w:top w:val="single" w:sz="4" w:space="0" w:color="auto"/>
              <w:bottom w:val="single" w:sz="4" w:space="0" w:color="auto"/>
            </w:tcBorders>
            <w:shd w:val="clear" w:color="auto" w:fill="auto"/>
            <w:noWrap/>
            <w:vAlign w:val="center"/>
            <w:hideMark/>
          </w:tcPr>
          <w:p w14:paraId="598D2C72" w14:textId="77777777" w:rsidR="00C7746D" w:rsidRPr="00465332" w:rsidRDefault="00C7746D" w:rsidP="00D5629E">
            <w:pPr>
              <w:pStyle w:val="TableText"/>
              <w:rPr>
                <w:color w:val="000000"/>
                <w:sz w:val="16"/>
                <w:szCs w:val="16"/>
              </w:rPr>
            </w:pPr>
            <w:r w:rsidRPr="00465332">
              <w:rPr>
                <w:color w:val="000000"/>
                <w:sz w:val="16"/>
                <w:szCs w:val="16"/>
              </w:rPr>
              <w:t>44,953</w:t>
            </w:r>
          </w:p>
        </w:tc>
        <w:tc>
          <w:tcPr>
            <w:tcW w:w="1170" w:type="dxa"/>
            <w:tcBorders>
              <w:top w:val="single" w:sz="4" w:space="0" w:color="auto"/>
              <w:bottom w:val="single" w:sz="4" w:space="0" w:color="auto"/>
            </w:tcBorders>
            <w:shd w:val="clear" w:color="auto" w:fill="auto"/>
            <w:noWrap/>
            <w:vAlign w:val="center"/>
            <w:hideMark/>
          </w:tcPr>
          <w:p w14:paraId="17EF00C3" w14:textId="77777777" w:rsidR="00C7746D" w:rsidRPr="00465332" w:rsidRDefault="00C7746D" w:rsidP="00D5629E">
            <w:pPr>
              <w:pStyle w:val="TableText"/>
              <w:rPr>
                <w:color w:val="000000"/>
                <w:sz w:val="16"/>
                <w:szCs w:val="16"/>
              </w:rPr>
            </w:pPr>
            <w:r w:rsidRPr="00465332">
              <w:rPr>
                <w:color w:val="000000"/>
                <w:sz w:val="16"/>
                <w:szCs w:val="16"/>
              </w:rPr>
              <w:t>46,920</w:t>
            </w:r>
          </w:p>
        </w:tc>
        <w:tc>
          <w:tcPr>
            <w:tcW w:w="1170" w:type="dxa"/>
            <w:tcBorders>
              <w:top w:val="single" w:sz="4" w:space="0" w:color="auto"/>
              <w:bottom w:val="single" w:sz="4" w:space="0" w:color="auto"/>
            </w:tcBorders>
            <w:shd w:val="clear" w:color="auto" w:fill="auto"/>
            <w:noWrap/>
            <w:vAlign w:val="center"/>
            <w:hideMark/>
          </w:tcPr>
          <w:p w14:paraId="46FCE92B" w14:textId="77777777" w:rsidR="00C7746D" w:rsidRPr="00465332" w:rsidRDefault="00C7746D" w:rsidP="00D5629E">
            <w:pPr>
              <w:pStyle w:val="TableText"/>
              <w:rPr>
                <w:color w:val="000000"/>
                <w:sz w:val="16"/>
                <w:szCs w:val="16"/>
              </w:rPr>
            </w:pPr>
            <w:r w:rsidRPr="00465332">
              <w:rPr>
                <w:color w:val="000000"/>
                <w:sz w:val="16"/>
                <w:szCs w:val="16"/>
              </w:rPr>
              <w:t>48,033</w:t>
            </w:r>
          </w:p>
        </w:tc>
        <w:tc>
          <w:tcPr>
            <w:tcW w:w="1170" w:type="dxa"/>
            <w:tcBorders>
              <w:top w:val="single" w:sz="4" w:space="0" w:color="auto"/>
              <w:bottom w:val="single" w:sz="4" w:space="0" w:color="auto"/>
            </w:tcBorders>
            <w:shd w:val="clear" w:color="auto" w:fill="auto"/>
            <w:noWrap/>
            <w:vAlign w:val="center"/>
            <w:hideMark/>
          </w:tcPr>
          <w:p w14:paraId="6F89F687" w14:textId="77777777" w:rsidR="00C7746D" w:rsidRPr="00465332" w:rsidRDefault="00C7746D" w:rsidP="00D5629E">
            <w:pPr>
              <w:pStyle w:val="TableText"/>
              <w:rPr>
                <w:color w:val="000000"/>
                <w:sz w:val="16"/>
                <w:szCs w:val="16"/>
              </w:rPr>
            </w:pPr>
            <w:r w:rsidRPr="00465332">
              <w:rPr>
                <w:color w:val="000000"/>
                <w:sz w:val="16"/>
                <w:szCs w:val="16"/>
              </w:rPr>
              <w:t>48,566</w:t>
            </w:r>
          </w:p>
        </w:tc>
        <w:tc>
          <w:tcPr>
            <w:tcW w:w="1170" w:type="dxa"/>
            <w:tcBorders>
              <w:top w:val="single" w:sz="4" w:space="0" w:color="auto"/>
              <w:bottom w:val="single" w:sz="4" w:space="0" w:color="auto"/>
            </w:tcBorders>
            <w:shd w:val="clear" w:color="auto" w:fill="auto"/>
            <w:noWrap/>
            <w:vAlign w:val="center"/>
            <w:hideMark/>
          </w:tcPr>
          <w:p w14:paraId="1AC38611" w14:textId="77777777" w:rsidR="00C7746D" w:rsidRPr="00465332" w:rsidRDefault="00C7746D" w:rsidP="00D5629E">
            <w:pPr>
              <w:pStyle w:val="TableText"/>
              <w:rPr>
                <w:color w:val="000000"/>
                <w:sz w:val="16"/>
                <w:szCs w:val="16"/>
              </w:rPr>
            </w:pPr>
            <w:r w:rsidRPr="00465332">
              <w:rPr>
                <w:color w:val="000000"/>
                <w:sz w:val="16"/>
                <w:szCs w:val="16"/>
              </w:rPr>
              <w:t>50,259</w:t>
            </w:r>
          </w:p>
        </w:tc>
        <w:tc>
          <w:tcPr>
            <w:tcW w:w="1440" w:type="dxa"/>
            <w:tcBorders>
              <w:top w:val="single" w:sz="4" w:space="0" w:color="auto"/>
              <w:bottom w:val="single" w:sz="4" w:space="0" w:color="auto"/>
            </w:tcBorders>
            <w:shd w:val="clear" w:color="auto" w:fill="auto"/>
            <w:noWrap/>
            <w:vAlign w:val="center"/>
            <w:hideMark/>
          </w:tcPr>
          <w:p w14:paraId="59FAF8BD" w14:textId="77777777" w:rsidR="00C7746D" w:rsidRPr="00465332" w:rsidRDefault="00C7746D" w:rsidP="00D5629E">
            <w:pPr>
              <w:pStyle w:val="TableText"/>
              <w:rPr>
                <w:sz w:val="16"/>
                <w:szCs w:val="16"/>
              </w:rPr>
            </w:pPr>
            <w:r w:rsidRPr="00465332">
              <w:rPr>
                <w:sz w:val="16"/>
                <w:szCs w:val="16"/>
              </w:rPr>
              <w:t>11%</w:t>
            </w:r>
          </w:p>
        </w:tc>
      </w:tr>
      <w:tr w:rsidR="00C7746D" w:rsidRPr="00465332" w14:paraId="19FBBE3F" w14:textId="77777777" w:rsidTr="00D114C8">
        <w:trPr>
          <w:trHeight w:val="20"/>
          <w:jc w:val="center"/>
        </w:trPr>
        <w:tc>
          <w:tcPr>
            <w:tcW w:w="1866" w:type="dxa"/>
            <w:tcBorders>
              <w:top w:val="single" w:sz="4" w:space="0" w:color="auto"/>
            </w:tcBorders>
            <w:shd w:val="clear" w:color="auto" w:fill="auto"/>
            <w:noWrap/>
            <w:vAlign w:val="bottom"/>
            <w:hideMark/>
          </w:tcPr>
          <w:p w14:paraId="109BA7D1" w14:textId="77777777" w:rsidR="00C7746D" w:rsidRPr="00D5629E" w:rsidRDefault="00C7746D" w:rsidP="00D5629E">
            <w:pPr>
              <w:pStyle w:val="TableTextL"/>
            </w:pPr>
            <w:r w:rsidRPr="00D5629E">
              <w:t>Colusa County</w:t>
            </w:r>
          </w:p>
        </w:tc>
        <w:tc>
          <w:tcPr>
            <w:tcW w:w="924" w:type="dxa"/>
            <w:tcBorders>
              <w:top w:val="single" w:sz="4" w:space="0" w:color="auto"/>
            </w:tcBorders>
            <w:shd w:val="clear" w:color="auto" w:fill="auto"/>
            <w:noWrap/>
            <w:vAlign w:val="center"/>
            <w:hideMark/>
          </w:tcPr>
          <w:p w14:paraId="3E81B5DF" w14:textId="77777777" w:rsidR="00C7746D" w:rsidRPr="00465332" w:rsidRDefault="00C7746D" w:rsidP="00D5629E">
            <w:pPr>
              <w:pStyle w:val="TableText"/>
              <w:rPr>
                <w:color w:val="000000"/>
                <w:sz w:val="16"/>
                <w:szCs w:val="16"/>
              </w:rPr>
            </w:pPr>
            <w:r w:rsidRPr="00465332">
              <w:rPr>
                <w:color w:val="000000"/>
                <w:sz w:val="16"/>
                <w:szCs w:val="16"/>
              </w:rPr>
              <w:t>22,098</w:t>
            </w:r>
          </w:p>
        </w:tc>
        <w:tc>
          <w:tcPr>
            <w:tcW w:w="1170" w:type="dxa"/>
            <w:tcBorders>
              <w:top w:val="single" w:sz="4" w:space="0" w:color="auto"/>
            </w:tcBorders>
            <w:shd w:val="clear" w:color="auto" w:fill="auto"/>
            <w:noWrap/>
            <w:vAlign w:val="center"/>
            <w:hideMark/>
          </w:tcPr>
          <w:p w14:paraId="112B07A7" w14:textId="77777777" w:rsidR="00C7746D" w:rsidRPr="00465332" w:rsidRDefault="00C7746D" w:rsidP="00D5629E">
            <w:pPr>
              <w:pStyle w:val="TableText"/>
              <w:rPr>
                <w:color w:val="000000"/>
                <w:sz w:val="16"/>
                <w:szCs w:val="16"/>
              </w:rPr>
            </w:pPr>
            <w:r w:rsidRPr="00465332">
              <w:rPr>
                <w:color w:val="000000"/>
                <w:sz w:val="16"/>
                <w:szCs w:val="16"/>
              </w:rPr>
              <w:t>23,144</w:t>
            </w:r>
          </w:p>
        </w:tc>
        <w:tc>
          <w:tcPr>
            <w:tcW w:w="1170" w:type="dxa"/>
            <w:tcBorders>
              <w:top w:val="single" w:sz="4" w:space="0" w:color="auto"/>
            </w:tcBorders>
            <w:shd w:val="clear" w:color="auto" w:fill="auto"/>
            <w:noWrap/>
            <w:vAlign w:val="center"/>
            <w:hideMark/>
          </w:tcPr>
          <w:p w14:paraId="3AD14AC4" w14:textId="77777777" w:rsidR="00C7746D" w:rsidRPr="00465332" w:rsidRDefault="00C7746D" w:rsidP="00D5629E">
            <w:pPr>
              <w:pStyle w:val="TableText"/>
              <w:rPr>
                <w:color w:val="000000"/>
                <w:sz w:val="16"/>
                <w:szCs w:val="16"/>
              </w:rPr>
            </w:pPr>
            <w:r w:rsidRPr="00465332">
              <w:rPr>
                <w:color w:val="000000"/>
                <w:sz w:val="16"/>
                <w:szCs w:val="16"/>
              </w:rPr>
              <w:t>24,948</w:t>
            </w:r>
          </w:p>
        </w:tc>
        <w:tc>
          <w:tcPr>
            <w:tcW w:w="1170" w:type="dxa"/>
            <w:tcBorders>
              <w:top w:val="single" w:sz="4" w:space="0" w:color="auto"/>
            </w:tcBorders>
            <w:shd w:val="clear" w:color="auto" w:fill="auto"/>
            <w:noWrap/>
            <w:vAlign w:val="center"/>
            <w:hideMark/>
          </w:tcPr>
          <w:p w14:paraId="0A2E046B" w14:textId="77777777" w:rsidR="00C7746D" w:rsidRPr="00465332" w:rsidRDefault="00C7746D" w:rsidP="00D5629E">
            <w:pPr>
              <w:pStyle w:val="TableText"/>
              <w:rPr>
                <w:color w:val="000000"/>
                <w:sz w:val="16"/>
                <w:szCs w:val="16"/>
              </w:rPr>
            </w:pPr>
            <w:r w:rsidRPr="00465332">
              <w:rPr>
                <w:color w:val="000000"/>
                <w:sz w:val="16"/>
                <w:szCs w:val="16"/>
              </w:rPr>
              <w:t>26,419</w:t>
            </w:r>
          </w:p>
        </w:tc>
        <w:tc>
          <w:tcPr>
            <w:tcW w:w="1170" w:type="dxa"/>
            <w:tcBorders>
              <w:top w:val="single" w:sz="4" w:space="0" w:color="auto"/>
            </w:tcBorders>
            <w:shd w:val="clear" w:color="auto" w:fill="auto"/>
            <w:noWrap/>
            <w:vAlign w:val="center"/>
            <w:hideMark/>
          </w:tcPr>
          <w:p w14:paraId="226C2DBA" w14:textId="77777777" w:rsidR="00C7746D" w:rsidRPr="00465332" w:rsidRDefault="00C7746D" w:rsidP="00D5629E">
            <w:pPr>
              <w:pStyle w:val="TableText"/>
              <w:rPr>
                <w:color w:val="000000"/>
                <w:sz w:val="16"/>
                <w:szCs w:val="16"/>
              </w:rPr>
            </w:pPr>
            <w:r w:rsidRPr="00465332">
              <w:rPr>
                <w:color w:val="000000"/>
                <w:sz w:val="16"/>
                <w:szCs w:val="16"/>
              </w:rPr>
              <w:t>27,450</w:t>
            </w:r>
          </w:p>
        </w:tc>
        <w:tc>
          <w:tcPr>
            <w:tcW w:w="1170" w:type="dxa"/>
            <w:tcBorders>
              <w:top w:val="single" w:sz="4" w:space="0" w:color="auto"/>
            </w:tcBorders>
            <w:shd w:val="clear" w:color="auto" w:fill="auto"/>
            <w:noWrap/>
            <w:vAlign w:val="center"/>
            <w:hideMark/>
          </w:tcPr>
          <w:p w14:paraId="2B22FC88" w14:textId="77777777" w:rsidR="00C7746D" w:rsidRPr="00465332" w:rsidRDefault="00C7746D" w:rsidP="00D5629E">
            <w:pPr>
              <w:pStyle w:val="TableText"/>
              <w:rPr>
                <w:color w:val="000000"/>
                <w:sz w:val="16"/>
                <w:szCs w:val="16"/>
              </w:rPr>
            </w:pPr>
            <w:r w:rsidRPr="00465332">
              <w:rPr>
                <w:color w:val="000000"/>
                <w:sz w:val="16"/>
                <w:szCs w:val="16"/>
              </w:rPr>
              <w:t>28,594</w:t>
            </w:r>
          </w:p>
        </w:tc>
        <w:tc>
          <w:tcPr>
            <w:tcW w:w="1440" w:type="dxa"/>
            <w:tcBorders>
              <w:top w:val="single" w:sz="4" w:space="0" w:color="auto"/>
            </w:tcBorders>
            <w:shd w:val="clear" w:color="auto" w:fill="auto"/>
            <w:noWrap/>
            <w:vAlign w:val="center"/>
            <w:hideMark/>
          </w:tcPr>
          <w:p w14:paraId="783EBD94" w14:textId="77777777" w:rsidR="00C7746D" w:rsidRPr="00465332" w:rsidRDefault="00C7746D" w:rsidP="00D5629E">
            <w:pPr>
              <w:pStyle w:val="TableText"/>
              <w:rPr>
                <w:sz w:val="16"/>
                <w:szCs w:val="16"/>
              </w:rPr>
            </w:pPr>
            <w:r w:rsidRPr="00465332">
              <w:rPr>
                <w:sz w:val="16"/>
                <w:szCs w:val="16"/>
              </w:rPr>
              <w:t>29%</w:t>
            </w:r>
          </w:p>
        </w:tc>
      </w:tr>
      <w:tr w:rsidR="00C7746D" w:rsidRPr="00465332" w14:paraId="7368DCAE" w14:textId="77777777" w:rsidTr="00D114C8">
        <w:trPr>
          <w:trHeight w:val="20"/>
          <w:jc w:val="center"/>
        </w:trPr>
        <w:tc>
          <w:tcPr>
            <w:tcW w:w="1866" w:type="dxa"/>
            <w:shd w:val="clear" w:color="auto" w:fill="auto"/>
            <w:noWrap/>
            <w:vAlign w:val="bottom"/>
            <w:hideMark/>
          </w:tcPr>
          <w:p w14:paraId="69BE2484" w14:textId="77777777" w:rsidR="00C7746D" w:rsidRPr="00D5629E" w:rsidRDefault="00C7746D" w:rsidP="00D5629E">
            <w:pPr>
              <w:pStyle w:val="TableTextL"/>
            </w:pPr>
            <w:r w:rsidRPr="00D5629E">
              <w:t>Contra Costa County</w:t>
            </w:r>
          </w:p>
        </w:tc>
        <w:tc>
          <w:tcPr>
            <w:tcW w:w="924" w:type="dxa"/>
            <w:shd w:val="clear" w:color="auto" w:fill="auto"/>
            <w:noWrap/>
            <w:vAlign w:val="center"/>
            <w:hideMark/>
          </w:tcPr>
          <w:p w14:paraId="3E8BCD8B" w14:textId="77777777" w:rsidR="00C7746D" w:rsidRPr="00465332" w:rsidRDefault="00C7746D" w:rsidP="00D5629E">
            <w:pPr>
              <w:pStyle w:val="TableText"/>
              <w:rPr>
                <w:color w:val="000000"/>
                <w:sz w:val="16"/>
                <w:szCs w:val="16"/>
              </w:rPr>
            </w:pPr>
            <w:r w:rsidRPr="00465332">
              <w:rPr>
                <w:color w:val="000000"/>
                <w:sz w:val="16"/>
                <w:szCs w:val="16"/>
              </w:rPr>
              <w:t>1,149,363</w:t>
            </w:r>
          </w:p>
        </w:tc>
        <w:tc>
          <w:tcPr>
            <w:tcW w:w="1170" w:type="dxa"/>
            <w:shd w:val="clear" w:color="auto" w:fill="auto"/>
            <w:noWrap/>
            <w:vAlign w:val="center"/>
            <w:hideMark/>
          </w:tcPr>
          <w:p w14:paraId="1459356D" w14:textId="77777777" w:rsidR="00C7746D" w:rsidRPr="00465332" w:rsidRDefault="00C7746D" w:rsidP="00D5629E">
            <w:pPr>
              <w:pStyle w:val="TableText"/>
              <w:rPr>
                <w:color w:val="000000"/>
                <w:sz w:val="16"/>
                <w:szCs w:val="16"/>
              </w:rPr>
            </w:pPr>
            <w:r w:rsidRPr="00465332">
              <w:rPr>
                <w:color w:val="000000"/>
                <w:sz w:val="16"/>
                <w:szCs w:val="16"/>
              </w:rPr>
              <w:t>1,178,639</w:t>
            </w:r>
          </w:p>
        </w:tc>
        <w:tc>
          <w:tcPr>
            <w:tcW w:w="1170" w:type="dxa"/>
            <w:shd w:val="clear" w:color="auto" w:fill="auto"/>
            <w:noWrap/>
            <w:vAlign w:val="center"/>
            <w:hideMark/>
          </w:tcPr>
          <w:p w14:paraId="3D63479A" w14:textId="77777777" w:rsidR="00C7746D" w:rsidRPr="00465332" w:rsidRDefault="00C7746D" w:rsidP="00D5629E">
            <w:pPr>
              <w:pStyle w:val="TableText"/>
              <w:rPr>
                <w:color w:val="000000"/>
                <w:sz w:val="16"/>
                <w:szCs w:val="16"/>
              </w:rPr>
            </w:pPr>
            <w:r w:rsidRPr="00465332">
              <w:rPr>
                <w:color w:val="000000"/>
                <w:sz w:val="16"/>
                <w:szCs w:val="16"/>
              </w:rPr>
              <w:t>1,309,118</w:t>
            </w:r>
          </w:p>
        </w:tc>
        <w:tc>
          <w:tcPr>
            <w:tcW w:w="1170" w:type="dxa"/>
            <w:shd w:val="clear" w:color="auto" w:fill="auto"/>
            <w:noWrap/>
            <w:vAlign w:val="center"/>
            <w:hideMark/>
          </w:tcPr>
          <w:p w14:paraId="24BEB0D8" w14:textId="77777777" w:rsidR="00C7746D" w:rsidRPr="00465332" w:rsidRDefault="00C7746D" w:rsidP="00D5629E">
            <w:pPr>
              <w:pStyle w:val="TableText"/>
              <w:rPr>
                <w:color w:val="000000"/>
                <w:sz w:val="16"/>
                <w:szCs w:val="16"/>
              </w:rPr>
            </w:pPr>
            <w:r w:rsidRPr="00465332">
              <w:rPr>
                <w:color w:val="000000"/>
                <w:sz w:val="16"/>
                <w:szCs w:val="16"/>
              </w:rPr>
              <w:t>1,420,595</w:t>
            </w:r>
          </w:p>
        </w:tc>
        <w:tc>
          <w:tcPr>
            <w:tcW w:w="1170" w:type="dxa"/>
            <w:shd w:val="clear" w:color="auto" w:fill="auto"/>
            <w:noWrap/>
            <w:vAlign w:val="center"/>
            <w:hideMark/>
          </w:tcPr>
          <w:p w14:paraId="42931666" w14:textId="77777777" w:rsidR="00C7746D" w:rsidRPr="00465332" w:rsidRDefault="00C7746D" w:rsidP="00D5629E">
            <w:pPr>
              <w:pStyle w:val="TableText"/>
              <w:rPr>
                <w:color w:val="000000"/>
                <w:sz w:val="16"/>
                <w:szCs w:val="16"/>
              </w:rPr>
            </w:pPr>
            <w:r w:rsidRPr="00465332">
              <w:rPr>
                <w:color w:val="000000"/>
                <w:sz w:val="16"/>
                <w:szCs w:val="16"/>
              </w:rPr>
              <w:t>1,500,541</w:t>
            </w:r>
          </w:p>
        </w:tc>
        <w:tc>
          <w:tcPr>
            <w:tcW w:w="1170" w:type="dxa"/>
            <w:shd w:val="clear" w:color="auto" w:fill="auto"/>
            <w:noWrap/>
            <w:vAlign w:val="center"/>
            <w:hideMark/>
          </w:tcPr>
          <w:p w14:paraId="1FCF2F48" w14:textId="77777777" w:rsidR="00C7746D" w:rsidRPr="00465332" w:rsidRDefault="00C7746D" w:rsidP="00D5629E">
            <w:pPr>
              <w:pStyle w:val="TableText"/>
              <w:rPr>
                <w:color w:val="000000"/>
                <w:sz w:val="16"/>
                <w:szCs w:val="16"/>
              </w:rPr>
            </w:pPr>
            <w:r w:rsidRPr="00465332">
              <w:rPr>
                <w:color w:val="000000"/>
                <w:sz w:val="16"/>
                <w:szCs w:val="16"/>
              </w:rPr>
              <w:t>1,563,465</w:t>
            </w:r>
          </w:p>
        </w:tc>
        <w:tc>
          <w:tcPr>
            <w:tcW w:w="1440" w:type="dxa"/>
            <w:shd w:val="clear" w:color="auto" w:fill="auto"/>
            <w:noWrap/>
            <w:vAlign w:val="center"/>
            <w:hideMark/>
          </w:tcPr>
          <w:p w14:paraId="6A55AA08" w14:textId="77777777" w:rsidR="00C7746D" w:rsidRPr="00465332" w:rsidRDefault="00C7746D" w:rsidP="00D5629E">
            <w:pPr>
              <w:pStyle w:val="TableText"/>
              <w:rPr>
                <w:sz w:val="16"/>
                <w:szCs w:val="16"/>
              </w:rPr>
            </w:pPr>
            <w:r w:rsidRPr="00465332">
              <w:rPr>
                <w:sz w:val="16"/>
                <w:szCs w:val="16"/>
              </w:rPr>
              <w:t>36%</w:t>
            </w:r>
          </w:p>
        </w:tc>
      </w:tr>
      <w:tr w:rsidR="00C7746D" w:rsidRPr="00465332" w14:paraId="609F2652" w14:textId="77777777" w:rsidTr="00D114C8">
        <w:trPr>
          <w:trHeight w:val="20"/>
          <w:jc w:val="center"/>
        </w:trPr>
        <w:tc>
          <w:tcPr>
            <w:tcW w:w="1866" w:type="dxa"/>
            <w:shd w:val="clear" w:color="auto" w:fill="auto"/>
            <w:noWrap/>
            <w:vAlign w:val="bottom"/>
            <w:hideMark/>
          </w:tcPr>
          <w:p w14:paraId="18E6EF02" w14:textId="77777777" w:rsidR="00C7746D" w:rsidRPr="00D5629E" w:rsidRDefault="00C7746D" w:rsidP="00D5629E">
            <w:pPr>
              <w:pStyle w:val="TableTextL"/>
            </w:pPr>
            <w:r w:rsidRPr="00D5629E">
              <w:t>Del Norte County</w:t>
            </w:r>
          </w:p>
        </w:tc>
        <w:tc>
          <w:tcPr>
            <w:tcW w:w="924" w:type="dxa"/>
            <w:shd w:val="clear" w:color="auto" w:fill="auto"/>
            <w:noWrap/>
            <w:vAlign w:val="center"/>
            <w:hideMark/>
          </w:tcPr>
          <w:p w14:paraId="6E6BD380" w14:textId="77777777" w:rsidR="00C7746D" w:rsidRPr="00465332" w:rsidRDefault="00C7746D" w:rsidP="00D5629E">
            <w:pPr>
              <w:pStyle w:val="TableText"/>
              <w:rPr>
                <w:color w:val="000000"/>
                <w:sz w:val="16"/>
                <w:szCs w:val="16"/>
              </w:rPr>
            </w:pPr>
            <w:r w:rsidRPr="00465332">
              <w:rPr>
                <w:color w:val="000000"/>
                <w:sz w:val="16"/>
                <w:szCs w:val="16"/>
              </w:rPr>
              <w:t>27,221</w:t>
            </w:r>
          </w:p>
        </w:tc>
        <w:tc>
          <w:tcPr>
            <w:tcW w:w="1170" w:type="dxa"/>
            <w:shd w:val="clear" w:color="auto" w:fill="auto"/>
            <w:noWrap/>
            <w:vAlign w:val="center"/>
            <w:hideMark/>
          </w:tcPr>
          <w:p w14:paraId="399DC30C" w14:textId="77777777" w:rsidR="00C7746D" w:rsidRPr="00465332" w:rsidRDefault="00C7746D" w:rsidP="00D5629E">
            <w:pPr>
              <w:pStyle w:val="TableText"/>
              <w:rPr>
                <w:color w:val="000000"/>
                <w:sz w:val="16"/>
                <w:szCs w:val="16"/>
              </w:rPr>
            </w:pPr>
            <w:r w:rsidRPr="00465332">
              <w:rPr>
                <w:color w:val="000000"/>
                <w:sz w:val="16"/>
                <w:szCs w:val="16"/>
              </w:rPr>
              <w:t>26,997</w:t>
            </w:r>
          </w:p>
        </w:tc>
        <w:tc>
          <w:tcPr>
            <w:tcW w:w="1170" w:type="dxa"/>
            <w:shd w:val="clear" w:color="auto" w:fill="auto"/>
            <w:noWrap/>
            <w:vAlign w:val="center"/>
            <w:hideMark/>
          </w:tcPr>
          <w:p w14:paraId="74506C69" w14:textId="77777777" w:rsidR="00C7746D" w:rsidRPr="00465332" w:rsidRDefault="00C7746D" w:rsidP="00D5629E">
            <w:pPr>
              <w:pStyle w:val="TableText"/>
              <w:rPr>
                <w:color w:val="000000"/>
                <w:sz w:val="16"/>
                <w:szCs w:val="16"/>
              </w:rPr>
            </w:pPr>
            <w:r w:rsidRPr="00465332">
              <w:rPr>
                <w:color w:val="000000"/>
                <w:sz w:val="16"/>
                <w:szCs w:val="16"/>
              </w:rPr>
              <w:t>27,570</w:t>
            </w:r>
          </w:p>
        </w:tc>
        <w:tc>
          <w:tcPr>
            <w:tcW w:w="1170" w:type="dxa"/>
            <w:shd w:val="clear" w:color="auto" w:fill="auto"/>
            <w:noWrap/>
            <w:vAlign w:val="center"/>
            <w:hideMark/>
          </w:tcPr>
          <w:p w14:paraId="4C5BFC2B" w14:textId="77777777" w:rsidR="00C7746D" w:rsidRPr="00465332" w:rsidRDefault="00C7746D" w:rsidP="00D5629E">
            <w:pPr>
              <w:pStyle w:val="TableText"/>
              <w:rPr>
                <w:color w:val="000000"/>
                <w:sz w:val="16"/>
                <w:szCs w:val="16"/>
              </w:rPr>
            </w:pPr>
            <w:r w:rsidRPr="00465332">
              <w:rPr>
                <w:color w:val="000000"/>
                <w:sz w:val="16"/>
                <w:szCs w:val="16"/>
              </w:rPr>
              <w:t>28,104</w:t>
            </w:r>
          </w:p>
        </w:tc>
        <w:tc>
          <w:tcPr>
            <w:tcW w:w="1170" w:type="dxa"/>
            <w:shd w:val="clear" w:color="auto" w:fill="auto"/>
            <w:noWrap/>
            <w:vAlign w:val="center"/>
            <w:hideMark/>
          </w:tcPr>
          <w:p w14:paraId="7FE5D98E" w14:textId="77777777" w:rsidR="00C7746D" w:rsidRPr="00465332" w:rsidRDefault="00C7746D" w:rsidP="00D5629E">
            <w:pPr>
              <w:pStyle w:val="TableText"/>
              <w:rPr>
                <w:color w:val="000000"/>
                <w:sz w:val="16"/>
                <w:szCs w:val="16"/>
              </w:rPr>
            </w:pPr>
            <w:r w:rsidRPr="00465332">
              <w:rPr>
                <w:color w:val="000000"/>
                <w:sz w:val="16"/>
                <w:szCs w:val="16"/>
              </w:rPr>
              <w:t>28,568</w:t>
            </w:r>
          </w:p>
        </w:tc>
        <w:tc>
          <w:tcPr>
            <w:tcW w:w="1170" w:type="dxa"/>
            <w:shd w:val="clear" w:color="auto" w:fill="auto"/>
            <w:noWrap/>
            <w:vAlign w:val="center"/>
            <w:hideMark/>
          </w:tcPr>
          <w:p w14:paraId="2FD817EB" w14:textId="77777777" w:rsidR="00C7746D" w:rsidRPr="00465332" w:rsidRDefault="00C7746D" w:rsidP="00D5629E">
            <w:pPr>
              <w:pStyle w:val="TableText"/>
              <w:rPr>
                <w:color w:val="000000"/>
                <w:sz w:val="16"/>
                <w:szCs w:val="16"/>
              </w:rPr>
            </w:pPr>
            <w:r w:rsidRPr="00465332">
              <w:rPr>
                <w:color w:val="000000"/>
                <w:sz w:val="16"/>
                <w:szCs w:val="16"/>
              </w:rPr>
              <w:t>29,345</w:t>
            </w:r>
          </w:p>
        </w:tc>
        <w:tc>
          <w:tcPr>
            <w:tcW w:w="1440" w:type="dxa"/>
            <w:shd w:val="clear" w:color="auto" w:fill="auto"/>
            <w:noWrap/>
            <w:vAlign w:val="center"/>
            <w:hideMark/>
          </w:tcPr>
          <w:p w14:paraId="101A6B9D" w14:textId="77777777" w:rsidR="00C7746D" w:rsidRPr="00465332" w:rsidRDefault="00C7746D" w:rsidP="00D5629E">
            <w:pPr>
              <w:pStyle w:val="TableText"/>
              <w:rPr>
                <w:sz w:val="16"/>
                <w:szCs w:val="16"/>
              </w:rPr>
            </w:pPr>
            <w:r w:rsidRPr="00465332">
              <w:rPr>
                <w:sz w:val="16"/>
                <w:szCs w:val="16"/>
              </w:rPr>
              <w:t>8%</w:t>
            </w:r>
          </w:p>
        </w:tc>
      </w:tr>
      <w:tr w:rsidR="00C7746D" w:rsidRPr="00465332" w14:paraId="2CA626F0" w14:textId="77777777" w:rsidTr="00D114C8">
        <w:trPr>
          <w:trHeight w:val="20"/>
          <w:jc w:val="center"/>
        </w:trPr>
        <w:tc>
          <w:tcPr>
            <w:tcW w:w="1866" w:type="dxa"/>
            <w:shd w:val="clear" w:color="auto" w:fill="auto"/>
            <w:noWrap/>
            <w:vAlign w:val="bottom"/>
            <w:hideMark/>
          </w:tcPr>
          <w:p w14:paraId="548E1225" w14:textId="77777777" w:rsidR="00C7746D" w:rsidRPr="00D5629E" w:rsidRDefault="00C7746D" w:rsidP="00D5629E">
            <w:pPr>
              <w:pStyle w:val="TableTextL"/>
            </w:pPr>
            <w:r w:rsidRPr="00D5629E">
              <w:t>El Dorado County</w:t>
            </w:r>
          </w:p>
        </w:tc>
        <w:tc>
          <w:tcPr>
            <w:tcW w:w="924" w:type="dxa"/>
            <w:shd w:val="clear" w:color="auto" w:fill="auto"/>
            <w:noWrap/>
            <w:vAlign w:val="center"/>
            <w:hideMark/>
          </w:tcPr>
          <w:p w14:paraId="695B0708" w14:textId="77777777" w:rsidR="00C7746D" w:rsidRPr="00465332" w:rsidRDefault="00C7746D" w:rsidP="00D5629E">
            <w:pPr>
              <w:pStyle w:val="TableText"/>
              <w:rPr>
                <w:color w:val="000000"/>
                <w:sz w:val="16"/>
                <w:szCs w:val="16"/>
              </w:rPr>
            </w:pPr>
            <w:r w:rsidRPr="00465332">
              <w:rPr>
                <w:color w:val="000000"/>
                <w:sz w:val="16"/>
                <w:szCs w:val="16"/>
              </w:rPr>
              <w:t>188,399</w:t>
            </w:r>
          </w:p>
        </w:tc>
        <w:tc>
          <w:tcPr>
            <w:tcW w:w="1170" w:type="dxa"/>
            <w:shd w:val="clear" w:color="auto" w:fill="auto"/>
            <w:noWrap/>
            <w:vAlign w:val="center"/>
            <w:hideMark/>
          </w:tcPr>
          <w:p w14:paraId="6429A5D4" w14:textId="77777777" w:rsidR="00C7746D" w:rsidRPr="00465332" w:rsidRDefault="00C7746D" w:rsidP="00D5629E">
            <w:pPr>
              <w:pStyle w:val="TableText"/>
              <w:rPr>
                <w:color w:val="000000"/>
                <w:sz w:val="16"/>
                <w:szCs w:val="16"/>
              </w:rPr>
            </w:pPr>
            <w:r w:rsidRPr="00465332">
              <w:rPr>
                <w:color w:val="000000"/>
                <w:sz w:val="16"/>
                <w:szCs w:val="16"/>
              </w:rPr>
              <w:t>189,576</w:t>
            </w:r>
          </w:p>
        </w:tc>
        <w:tc>
          <w:tcPr>
            <w:tcW w:w="1170" w:type="dxa"/>
            <w:shd w:val="clear" w:color="auto" w:fill="auto"/>
            <w:noWrap/>
            <w:vAlign w:val="center"/>
            <w:hideMark/>
          </w:tcPr>
          <w:p w14:paraId="2CCBB3BF" w14:textId="77777777" w:rsidR="00C7746D" w:rsidRPr="00465332" w:rsidRDefault="00C7746D" w:rsidP="00D5629E">
            <w:pPr>
              <w:pStyle w:val="TableText"/>
              <w:rPr>
                <w:color w:val="000000"/>
                <w:sz w:val="16"/>
                <w:szCs w:val="16"/>
              </w:rPr>
            </w:pPr>
            <w:r w:rsidRPr="00465332">
              <w:rPr>
                <w:color w:val="000000"/>
                <w:sz w:val="16"/>
                <w:szCs w:val="16"/>
              </w:rPr>
              <w:t>206,010</w:t>
            </w:r>
          </w:p>
        </w:tc>
        <w:tc>
          <w:tcPr>
            <w:tcW w:w="1170" w:type="dxa"/>
            <w:shd w:val="clear" w:color="auto" w:fill="auto"/>
            <w:noWrap/>
            <w:vAlign w:val="center"/>
            <w:hideMark/>
          </w:tcPr>
          <w:p w14:paraId="1DBB7849" w14:textId="77777777" w:rsidR="00C7746D" w:rsidRPr="00465332" w:rsidRDefault="00C7746D" w:rsidP="00D5629E">
            <w:pPr>
              <w:pStyle w:val="TableText"/>
              <w:rPr>
                <w:color w:val="000000"/>
                <w:sz w:val="16"/>
                <w:szCs w:val="16"/>
              </w:rPr>
            </w:pPr>
            <w:r w:rsidRPr="00465332">
              <w:rPr>
                <w:color w:val="000000"/>
                <w:sz w:val="16"/>
                <w:szCs w:val="16"/>
              </w:rPr>
              <w:t>222,972</w:t>
            </w:r>
          </w:p>
        </w:tc>
        <w:tc>
          <w:tcPr>
            <w:tcW w:w="1170" w:type="dxa"/>
            <w:shd w:val="clear" w:color="auto" w:fill="auto"/>
            <w:noWrap/>
            <w:vAlign w:val="center"/>
            <w:hideMark/>
          </w:tcPr>
          <w:p w14:paraId="3C025074" w14:textId="77777777" w:rsidR="00C7746D" w:rsidRPr="00465332" w:rsidRDefault="00C7746D" w:rsidP="00D5629E">
            <w:pPr>
              <w:pStyle w:val="TableText"/>
              <w:rPr>
                <w:color w:val="000000"/>
                <w:sz w:val="16"/>
                <w:szCs w:val="16"/>
              </w:rPr>
            </w:pPr>
            <w:r w:rsidRPr="00465332">
              <w:rPr>
                <w:color w:val="000000"/>
                <w:sz w:val="16"/>
                <w:szCs w:val="16"/>
              </w:rPr>
              <w:t>235,323</w:t>
            </w:r>
          </w:p>
        </w:tc>
        <w:tc>
          <w:tcPr>
            <w:tcW w:w="1170" w:type="dxa"/>
            <w:shd w:val="clear" w:color="auto" w:fill="auto"/>
            <w:noWrap/>
            <w:vAlign w:val="center"/>
            <w:hideMark/>
          </w:tcPr>
          <w:p w14:paraId="3FD53401" w14:textId="77777777" w:rsidR="00C7746D" w:rsidRPr="00465332" w:rsidRDefault="00C7746D" w:rsidP="00D5629E">
            <w:pPr>
              <w:pStyle w:val="TableText"/>
              <w:rPr>
                <w:color w:val="000000"/>
                <w:sz w:val="16"/>
                <w:szCs w:val="16"/>
              </w:rPr>
            </w:pPr>
            <w:r w:rsidRPr="00465332">
              <w:rPr>
                <w:color w:val="000000"/>
                <w:sz w:val="16"/>
                <w:szCs w:val="16"/>
              </w:rPr>
              <w:t>250,957</w:t>
            </w:r>
          </w:p>
        </w:tc>
        <w:tc>
          <w:tcPr>
            <w:tcW w:w="1440" w:type="dxa"/>
            <w:shd w:val="clear" w:color="auto" w:fill="auto"/>
            <w:noWrap/>
            <w:vAlign w:val="center"/>
            <w:hideMark/>
          </w:tcPr>
          <w:p w14:paraId="7138D73D" w14:textId="77777777" w:rsidR="00C7746D" w:rsidRPr="00465332" w:rsidRDefault="00C7746D" w:rsidP="00D5629E">
            <w:pPr>
              <w:pStyle w:val="TableText"/>
              <w:rPr>
                <w:sz w:val="16"/>
                <w:szCs w:val="16"/>
              </w:rPr>
            </w:pPr>
            <w:r w:rsidRPr="00465332">
              <w:rPr>
                <w:sz w:val="16"/>
                <w:szCs w:val="16"/>
              </w:rPr>
              <w:t>33%</w:t>
            </w:r>
          </w:p>
        </w:tc>
      </w:tr>
      <w:tr w:rsidR="00C7746D" w:rsidRPr="00465332" w14:paraId="131FFFE7" w14:textId="77777777" w:rsidTr="00D114C8">
        <w:trPr>
          <w:trHeight w:val="20"/>
          <w:jc w:val="center"/>
        </w:trPr>
        <w:tc>
          <w:tcPr>
            <w:tcW w:w="1866" w:type="dxa"/>
            <w:shd w:val="clear" w:color="auto" w:fill="auto"/>
            <w:noWrap/>
            <w:vAlign w:val="bottom"/>
            <w:hideMark/>
          </w:tcPr>
          <w:p w14:paraId="7D308EB0" w14:textId="77777777" w:rsidR="00C7746D" w:rsidRPr="00D5629E" w:rsidRDefault="00C7746D" w:rsidP="00D5629E">
            <w:pPr>
              <w:pStyle w:val="TableTextL"/>
            </w:pPr>
            <w:r w:rsidRPr="00D5629E">
              <w:t>Fresno County</w:t>
            </w:r>
          </w:p>
        </w:tc>
        <w:tc>
          <w:tcPr>
            <w:tcW w:w="924" w:type="dxa"/>
            <w:shd w:val="clear" w:color="auto" w:fill="auto"/>
            <w:noWrap/>
            <w:vAlign w:val="center"/>
            <w:hideMark/>
          </w:tcPr>
          <w:p w14:paraId="4ADEFD68" w14:textId="77777777" w:rsidR="00C7746D" w:rsidRPr="00465332" w:rsidRDefault="00C7746D" w:rsidP="00D5629E">
            <w:pPr>
              <w:pStyle w:val="TableText"/>
              <w:rPr>
                <w:color w:val="000000"/>
                <w:sz w:val="16"/>
                <w:szCs w:val="16"/>
              </w:rPr>
            </w:pPr>
            <w:r w:rsidRPr="00465332">
              <w:rPr>
                <w:color w:val="000000"/>
                <w:sz w:val="16"/>
                <w:szCs w:val="16"/>
              </w:rPr>
              <w:t>1,007,229</w:t>
            </w:r>
          </w:p>
        </w:tc>
        <w:tc>
          <w:tcPr>
            <w:tcW w:w="1170" w:type="dxa"/>
            <w:shd w:val="clear" w:color="auto" w:fill="auto"/>
            <w:noWrap/>
            <w:vAlign w:val="center"/>
            <w:hideMark/>
          </w:tcPr>
          <w:p w14:paraId="67AC6834" w14:textId="77777777" w:rsidR="00C7746D" w:rsidRPr="00465332" w:rsidRDefault="00C7746D" w:rsidP="00D5629E">
            <w:pPr>
              <w:pStyle w:val="TableText"/>
              <w:rPr>
                <w:color w:val="000000"/>
                <w:sz w:val="16"/>
                <w:szCs w:val="16"/>
              </w:rPr>
            </w:pPr>
            <w:r w:rsidRPr="00465332">
              <w:rPr>
                <w:color w:val="000000"/>
                <w:sz w:val="16"/>
                <w:szCs w:val="16"/>
              </w:rPr>
              <w:t>1,033,095</w:t>
            </w:r>
          </w:p>
        </w:tc>
        <w:tc>
          <w:tcPr>
            <w:tcW w:w="1170" w:type="dxa"/>
            <w:shd w:val="clear" w:color="auto" w:fill="auto"/>
            <w:noWrap/>
            <w:vAlign w:val="center"/>
            <w:hideMark/>
          </w:tcPr>
          <w:p w14:paraId="5C268288" w14:textId="77777777" w:rsidR="00C7746D" w:rsidRPr="00465332" w:rsidRDefault="00C7746D" w:rsidP="00D5629E">
            <w:pPr>
              <w:pStyle w:val="TableText"/>
              <w:rPr>
                <w:color w:val="000000"/>
                <w:sz w:val="16"/>
                <w:szCs w:val="16"/>
              </w:rPr>
            </w:pPr>
            <w:r w:rsidRPr="00465332">
              <w:rPr>
                <w:color w:val="000000"/>
                <w:sz w:val="16"/>
                <w:szCs w:val="16"/>
              </w:rPr>
              <w:t>1,145,673</w:t>
            </w:r>
          </w:p>
        </w:tc>
        <w:tc>
          <w:tcPr>
            <w:tcW w:w="1170" w:type="dxa"/>
            <w:shd w:val="clear" w:color="auto" w:fill="auto"/>
            <w:noWrap/>
            <w:vAlign w:val="center"/>
            <w:hideMark/>
          </w:tcPr>
          <w:p w14:paraId="4C6A8DF9" w14:textId="77777777" w:rsidR="00C7746D" w:rsidRPr="00465332" w:rsidRDefault="00C7746D" w:rsidP="00D5629E">
            <w:pPr>
              <w:pStyle w:val="TableText"/>
              <w:rPr>
                <w:color w:val="000000"/>
                <w:sz w:val="16"/>
                <w:szCs w:val="16"/>
              </w:rPr>
            </w:pPr>
            <w:r w:rsidRPr="00465332">
              <w:rPr>
                <w:color w:val="000000"/>
                <w:sz w:val="16"/>
                <w:szCs w:val="16"/>
              </w:rPr>
              <w:t>1,256,599</w:t>
            </w:r>
          </w:p>
        </w:tc>
        <w:tc>
          <w:tcPr>
            <w:tcW w:w="1170" w:type="dxa"/>
            <w:shd w:val="clear" w:color="auto" w:fill="auto"/>
            <w:noWrap/>
            <w:vAlign w:val="center"/>
            <w:hideMark/>
          </w:tcPr>
          <w:p w14:paraId="2ED558E2" w14:textId="77777777" w:rsidR="00C7746D" w:rsidRPr="00465332" w:rsidRDefault="00C7746D" w:rsidP="00D5629E">
            <w:pPr>
              <w:pStyle w:val="TableText"/>
              <w:rPr>
                <w:color w:val="000000"/>
                <w:sz w:val="16"/>
                <w:szCs w:val="16"/>
              </w:rPr>
            </w:pPr>
            <w:r w:rsidRPr="00465332">
              <w:rPr>
                <w:color w:val="000000"/>
                <w:sz w:val="16"/>
                <w:szCs w:val="16"/>
              </w:rPr>
              <w:t>1,358,990</w:t>
            </w:r>
          </w:p>
        </w:tc>
        <w:tc>
          <w:tcPr>
            <w:tcW w:w="1170" w:type="dxa"/>
            <w:shd w:val="clear" w:color="auto" w:fill="auto"/>
            <w:noWrap/>
            <w:vAlign w:val="center"/>
            <w:hideMark/>
          </w:tcPr>
          <w:p w14:paraId="49BF9E42" w14:textId="77777777" w:rsidR="00C7746D" w:rsidRPr="00465332" w:rsidRDefault="00C7746D" w:rsidP="00D5629E">
            <w:pPr>
              <w:pStyle w:val="TableText"/>
              <w:rPr>
                <w:color w:val="000000"/>
                <w:sz w:val="16"/>
                <w:szCs w:val="16"/>
              </w:rPr>
            </w:pPr>
            <w:r w:rsidRPr="00465332">
              <w:rPr>
                <w:color w:val="000000"/>
                <w:sz w:val="16"/>
                <w:szCs w:val="16"/>
              </w:rPr>
              <w:t>1,457,732</w:t>
            </w:r>
          </w:p>
        </w:tc>
        <w:tc>
          <w:tcPr>
            <w:tcW w:w="1440" w:type="dxa"/>
            <w:shd w:val="clear" w:color="auto" w:fill="auto"/>
            <w:noWrap/>
            <w:vAlign w:val="center"/>
            <w:hideMark/>
          </w:tcPr>
          <w:p w14:paraId="572720BE" w14:textId="77777777" w:rsidR="00C7746D" w:rsidRPr="00465332" w:rsidRDefault="00C7746D" w:rsidP="00D5629E">
            <w:pPr>
              <w:pStyle w:val="TableText"/>
              <w:rPr>
                <w:sz w:val="16"/>
                <w:szCs w:val="16"/>
              </w:rPr>
            </w:pPr>
            <w:r w:rsidRPr="00465332">
              <w:rPr>
                <w:sz w:val="16"/>
                <w:szCs w:val="16"/>
              </w:rPr>
              <w:t>45%</w:t>
            </w:r>
          </w:p>
        </w:tc>
      </w:tr>
      <w:tr w:rsidR="00C7746D" w:rsidRPr="00465332" w14:paraId="2D32D48C" w14:textId="77777777" w:rsidTr="00D114C8">
        <w:trPr>
          <w:trHeight w:val="20"/>
          <w:jc w:val="center"/>
        </w:trPr>
        <w:tc>
          <w:tcPr>
            <w:tcW w:w="1866" w:type="dxa"/>
            <w:shd w:val="clear" w:color="auto" w:fill="auto"/>
            <w:noWrap/>
            <w:vAlign w:val="bottom"/>
            <w:hideMark/>
          </w:tcPr>
          <w:p w14:paraId="4DA90374" w14:textId="77777777" w:rsidR="00C7746D" w:rsidRPr="00D5629E" w:rsidRDefault="00C7746D" w:rsidP="00D5629E">
            <w:pPr>
              <w:pStyle w:val="TableTextL"/>
            </w:pPr>
            <w:r w:rsidRPr="00D5629E">
              <w:t>Glenn County</w:t>
            </w:r>
          </w:p>
        </w:tc>
        <w:tc>
          <w:tcPr>
            <w:tcW w:w="924" w:type="dxa"/>
            <w:shd w:val="clear" w:color="auto" w:fill="auto"/>
            <w:noWrap/>
            <w:vAlign w:val="center"/>
            <w:hideMark/>
          </w:tcPr>
          <w:p w14:paraId="67F65E5E" w14:textId="77777777" w:rsidR="00C7746D" w:rsidRPr="00465332" w:rsidRDefault="00C7746D" w:rsidP="00D5629E">
            <w:pPr>
              <w:pStyle w:val="TableText"/>
              <w:rPr>
                <w:color w:val="000000"/>
                <w:sz w:val="16"/>
                <w:szCs w:val="16"/>
              </w:rPr>
            </w:pPr>
            <w:r w:rsidRPr="00465332">
              <w:rPr>
                <w:color w:val="000000"/>
                <w:sz w:val="16"/>
                <w:szCs w:val="16"/>
              </w:rPr>
              <w:t>28,796</w:t>
            </w:r>
          </w:p>
        </w:tc>
        <w:tc>
          <w:tcPr>
            <w:tcW w:w="1170" w:type="dxa"/>
            <w:shd w:val="clear" w:color="auto" w:fill="auto"/>
            <w:noWrap/>
            <w:vAlign w:val="center"/>
            <w:hideMark/>
          </w:tcPr>
          <w:p w14:paraId="718F2532" w14:textId="77777777" w:rsidR="00C7746D" w:rsidRPr="00465332" w:rsidRDefault="00C7746D" w:rsidP="00D5629E">
            <w:pPr>
              <w:pStyle w:val="TableText"/>
              <w:rPr>
                <w:color w:val="000000"/>
                <w:sz w:val="16"/>
                <w:szCs w:val="16"/>
              </w:rPr>
            </w:pPr>
            <w:r w:rsidRPr="00465332">
              <w:rPr>
                <w:color w:val="000000"/>
                <w:sz w:val="16"/>
                <w:szCs w:val="16"/>
              </w:rPr>
              <w:t>29,691</w:t>
            </w:r>
          </w:p>
        </w:tc>
        <w:tc>
          <w:tcPr>
            <w:tcW w:w="1170" w:type="dxa"/>
            <w:shd w:val="clear" w:color="auto" w:fill="auto"/>
            <w:noWrap/>
            <w:vAlign w:val="center"/>
            <w:hideMark/>
          </w:tcPr>
          <w:p w14:paraId="1B92E255" w14:textId="77777777" w:rsidR="00C7746D" w:rsidRPr="00465332" w:rsidRDefault="00C7746D" w:rsidP="00D5629E">
            <w:pPr>
              <w:pStyle w:val="TableText"/>
              <w:rPr>
                <w:color w:val="000000"/>
                <w:sz w:val="16"/>
                <w:szCs w:val="16"/>
              </w:rPr>
            </w:pPr>
            <w:r w:rsidRPr="00465332">
              <w:rPr>
                <w:color w:val="000000"/>
                <w:sz w:val="16"/>
                <w:szCs w:val="16"/>
              </w:rPr>
              <w:t>31,600</w:t>
            </w:r>
          </w:p>
        </w:tc>
        <w:tc>
          <w:tcPr>
            <w:tcW w:w="1170" w:type="dxa"/>
            <w:shd w:val="clear" w:color="auto" w:fill="auto"/>
            <w:noWrap/>
            <w:vAlign w:val="center"/>
            <w:hideMark/>
          </w:tcPr>
          <w:p w14:paraId="6D019165" w14:textId="77777777" w:rsidR="00C7746D" w:rsidRPr="00465332" w:rsidRDefault="00C7746D" w:rsidP="00D5629E">
            <w:pPr>
              <w:pStyle w:val="TableText"/>
              <w:rPr>
                <w:color w:val="000000"/>
                <w:sz w:val="16"/>
                <w:szCs w:val="16"/>
              </w:rPr>
            </w:pPr>
            <w:r w:rsidRPr="00465332">
              <w:rPr>
                <w:color w:val="000000"/>
                <w:sz w:val="16"/>
                <w:szCs w:val="16"/>
              </w:rPr>
              <w:t>33,267</w:t>
            </w:r>
          </w:p>
        </w:tc>
        <w:tc>
          <w:tcPr>
            <w:tcW w:w="1170" w:type="dxa"/>
            <w:shd w:val="clear" w:color="auto" w:fill="auto"/>
            <w:noWrap/>
            <w:vAlign w:val="center"/>
            <w:hideMark/>
          </w:tcPr>
          <w:p w14:paraId="7033CA92" w14:textId="77777777" w:rsidR="00C7746D" w:rsidRPr="00465332" w:rsidRDefault="00C7746D" w:rsidP="00D5629E">
            <w:pPr>
              <w:pStyle w:val="TableText"/>
              <w:rPr>
                <w:color w:val="000000"/>
                <w:sz w:val="16"/>
                <w:szCs w:val="16"/>
              </w:rPr>
            </w:pPr>
            <w:r w:rsidRPr="00465332">
              <w:rPr>
                <w:color w:val="000000"/>
                <w:sz w:val="16"/>
                <w:szCs w:val="16"/>
              </w:rPr>
              <w:t>34,363</w:t>
            </w:r>
          </w:p>
        </w:tc>
        <w:tc>
          <w:tcPr>
            <w:tcW w:w="1170" w:type="dxa"/>
            <w:shd w:val="clear" w:color="auto" w:fill="auto"/>
            <w:noWrap/>
            <w:vAlign w:val="center"/>
            <w:hideMark/>
          </w:tcPr>
          <w:p w14:paraId="0DEF3F0C" w14:textId="77777777" w:rsidR="00C7746D" w:rsidRPr="00465332" w:rsidRDefault="00C7746D" w:rsidP="00D5629E">
            <w:pPr>
              <w:pStyle w:val="TableText"/>
              <w:rPr>
                <w:color w:val="000000"/>
                <w:sz w:val="16"/>
                <w:szCs w:val="16"/>
              </w:rPr>
            </w:pPr>
            <w:r w:rsidRPr="00465332">
              <w:rPr>
                <w:color w:val="000000"/>
                <w:sz w:val="16"/>
                <w:szCs w:val="16"/>
              </w:rPr>
              <w:t>35,395</w:t>
            </w:r>
          </w:p>
        </w:tc>
        <w:tc>
          <w:tcPr>
            <w:tcW w:w="1440" w:type="dxa"/>
            <w:shd w:val="clear" w:color="auto" w:fill="auto"/>
            <w:noWrap/>
            <w:vAlign w:val="center"/>
            <w:hideMark/>
          </w:tcPr>
          <w:p w14:paraId="2E527A84" w14:textId="77777777" w:rsidR="00C7746D" w:rsidRPr="00465332" w:rsidRDefault="00C7746D" w:rsidP="00D5629E">
            <w:pPr>
              <w:pStyle w:val="TableText"/>
              <w:rPr>
                <w:sz w:val="16"/>
                <w:szCs w:val="16"/>
              </w:rPr>
            </w:pPr>
            <w:r w:rsidRPr="00465332">
              <w:rPr>
                <w:sz w:val="16"/>
                <w:szCs w:val="16"/>
              </w:rPr>
              <w:t>23%</w:t>
            </w:r>
          </w:p>
        </w:tc>
      </w:tr>
      <w:tr w:rsidR="00C7746D" w:rsidRPr="00465332" w14:paraId="1CB3B480" w14:textId="77777777" w:rsidTr="00D114C8">
        <w:trPr>
          <w:trHeight w:val="20"/>
          <w:jc w:val="center"/>
        </w:trPr>
        <w:tc>
          <w:tcPr>
            <w:tcW w:w="1866" w:type="dxa"/>
            <w:shd w:val="clear" w:color="auto" w:fill="auto"/>
            <w:noWrap/>
            <w:vAlign w:val="bottom"/>
            <w:hideMark/>
          </w:tcPr>
          <w:p w14:paraId="1210DA5A" w14:textId="77777777" w:rsidR="00C7746D" w:rsidRPr="00D5629E" w:rsidRDefault="00C7746D" w:rsidP="00D5629E">
            <w:pPr>
              <w:pStyle w:val="TableTextL"/>
            </w:pPr>
            <w:r w:rsidRPr="00D5629E">
              <w:t>Humboldt County</w:t>
            </w:r>
          </w:p>
        </w:tc>
        <w:tc>
          <w:tcPr>
            <w:tcW w:w="924" w:type="dxa"/>
            <w:shd w:val="clear" w:color="auto" w:fill="auto"/>
            <w:noWrap/>
            <w:vAlign w:val="center"/>
            <w:hideMark/>
          </w:tcPr>
          <w:p w14:paraId="2B9559DB" w14:textId="77777777" w:rsidR="00C7746D" w:rsidRPr="00465332" w:rsidRDefault="00C7746D" w:rsidP="00D5629E">
            <w:pPr>
              <w:pStyle w:val="TableText"/>
              <w:rPr>
                <w:color w:val="000000"/>
                <w:sz w:val="16"/>
                <w:szCs w:val="16"/>
              </w:rPr>
            </w:pPr>
            <w:r w:rsidRPr="00465332">
              <w:rPr>
                <w:color w:val="000000"/>
                <w:sz w:val="16"/>
                <w:szCs w:val="16"/>
              </w:rPr>
              <w:t>136,002</w:t>
            </w:r>
          </w:p>
        </w:tc>
        <w:tc>
          <w:tcPr>
            <w:tcW w:w="1170" w:type="dxa"/>
            <w:shd w:val="clear" w:color="auto" w:fill="auto"/>
            <w:noWrap/>
            <w:vAlign w:val="center"/>
            <w:hideMark/>
          </w:tcPr>
          <w:p w14:paraId="1BA4F204" w14:textId="77777777" w:rsidR="00C7746D" w:rsidRPr="00465332" w:rsidRDefault="00C7746D" w:rsidP="00D5629E">
            <w:pPr>
              <w:pStyle w:val="TableText"/>
              <w:rPr>
                <w:color w:val="000000"/>
                <w:sz w:val="16"/>
                <w:szCs w:val="16"/>
              </w:rPr>
            </w:pPr>
            <w:r w:rsidRPr="00465332">
              <w:rPr>
                <w:color w:val="000000"/>
                <w:sz w:val="16"/>
                <w:szCs w:val="16"/>
              </w:rPr>
              <w:t>137,711</w:t>
            </w:r>
          </w:p>
        </w:tc>
        <w:tc>
          <w:tcPr>
            <w:tcW w:w="1170" w:type="dxa"/>
            <w:shd w:val="clear" w:color="auto" w:fill="auto"/>
            <w:noWrap/>
            <w:vAlign w:val="center"/>
            <w:hideMark/>
          </w:tcPr>
          <w:p w14:paraId="21E5338F" w14:textId="77777777" w:rsidR="00C7746D" w:rsidRPr="00465332" w:rsidRDefault="00C7746D" w:rsidP="00D5629E">
            <w:pPr>
              <w:pStyle w:val="TableText"/>
              <w:rPr>
                <w:color w:val="000000"/>
                <w:sz w:val="16"/>
                <w:szCs w:val="16"/>
              </w:rPr>
            </w:pPr>
            <w:r w:rsidRPr="00465332">
              <w:rPr>
                <w:color w:val="000000"/>
                <w:sz w:val="16"/>
                <w:szCs w:val="16"/>
              </w:rPr>
              <w:t>140,779</w:t>
            </w:r>
          </w:p>
        </w:tc>
        <w:tc>
          <w:tcPr>
            <w:tcW w:w="1170" w:type="dxa"/>
            <w:shd w:val="clear" w:color="auto" w:fill="auto"/>
            <w:noWrap/>
            <w:vAlign w:val="center"/>
            <w:hideMark/>
          </w:tcPr>
          <w:p w14:paraId="70F7BFF3" w14:textId="77777777" w:rsidR="00C7746D" w:rsidRPr="00465332" w:rsidRDefault="00C7746D" w:rsidP="00D5629E">
            <w:pPr>
              <w:pStyle w:val="TableText"/>
              <w:rPr>
                <w:color w:val="000000"/>
                <w:sz w:val="16"/>
                <w:szCs w:val="16"/>
              </w:rPr>
            </w:pPr>
            <w:r w:rsidRPr="00465332">
              <w:rPr>
                <w:color w:val="000000"/>
                <w:sz w:val="16"/>
                <w:szCs w:val="16"/>
              </w:rPr>
              <w:t>141,236</w:t>
            </w:r>
          </w:p>
        </w:tc>
        <w:tc>
          <w:tcPr>
            <w:tcW w:w="1170" w:type="dxa"/>
            <w:shd w:val="clear" w:color="auto" w:fill="auto"/>
            <w:noWrap/>
            <w:vAlign w:val="center"/>
            <w:hideMark/>
          </w:tcPr>
          <w:p w14:paraId="6B8BC6A9" w14:textId="77777777" w:rsidR="00C7746D" w:rsidRPr="00465332" w:rsidRDefault="00C7746D" w:rsidP="00D5629E">
            <w:pPr>
              <w:pStyle w:val="TableText"/>
              <w:rPr>
                <w:color w:val="000000"/>
                <w:sz w:val="16"/>
                <w:szCs w:val="16"/>
              </w:rPr>
            </w:pPr>
            <w:r w:rsidRPr="00465332">
              <w:rPr>
                <w:color w:val="000000"/>
                <w:sz w:val="16"/>
                <w:szCs w:val="16"/>
              </w:rPr>
              <w:t>140,471</w:t>
            </w:r>
          </w:p>
        </w:tc>
        <w:tc>
          <w:tcPr>
            <w:tcW w:w="1170" w:type="dxa"/>
            <w:shd w:val="clear" w:color="auto" w:fill="auto"/>
            <w:noWrap/>
            <w:vAlign w:val="center"/>
            <w:hideMark/>
          </w:tcPr>
          <w:p w14:paraId="6C51251F" w14:textId="77777777" w:rsidR="00C7746D" w:rsidRPr="00465332" w:rsidRDefault="00C7746D" w:rsidP="00D5629E">
            <w:pPr>
              <w:pStyle w:val="TableText"/>
              <w:rPr>
                <w:color w:val="000000"/>
                <w:sz w:val="16"/>
                <w:szCs w:val="16"/>
              </w:rPr>
            </w:pPr>
            <w:r w:rsidRPr="00465332">
              <w:rPr>
                <w:color w:val="000000"/>
                <w:sz w:val="16"/>
                <w:szCs w:val="16"/>
              </w:rPr>
              <w:t>139,767</w:t>
            </w:r>
          </w:p>
        </w:tc>
        <w:tc>
          <w:tcPr>
            <w:tcW w:w="1440" w:type="dxa"/>
            <w:shd w:val="clear" w:color="auto" w:fill="auto"/>
            <w:noWrap/>
            <w:vAlign w:val="center"/>
            <w:hideMark/>
          </w:tcPr>
          <w:p w14:paraId="000A0D7A" w14:textId="77777777" w:rsidR="00C7746D" w:rsidRPr="00465332" w:rsidRDefault="00C7746D" w:rsidP="00D5629E">
            <w:pPr>
              <w:pStyle w:val="TableText"/>
              <w:rPr>
                <w:sz w:val="16"/>
                <w:szCs w:val="16"/>
              </w:rPr>
            </w:pPr>
            <w:r w:rsidRPr="00465332">
              <w:rPr>
                <w:sz w:val="16"/>
                <w:szCs w:val="16"/>
              </w:rPr>
              <w:t>3%</w:t>
            </w:r>
          </w:p>
        </w:tc>
      </w:tr>
      <w:tr w:rsidR="00C7746D" w:rsidRPr="00465332" w14:paraId="7CB07A63" w14:textId="77777777" w:rsidTr="00D114C8">
        <w:trPr>
          <w:trHeight w:val="20"/>
          <w:jc w:val="center"/>
        </w:trPr>
        <w:tc>
          <w:tcPr>
            <w:tcW w:w="1866" w:type="dxa"/>
            <w:shd w:val="clear" w:color="auto" w:fill="auto"/>
            <w:noWrap/>
            <w:vAlign w:val="bottom"/>
            <w:hideMark/>
          </w:tcPr>
          <w:p w14:paraId="3520484D" w14:textId="77777777" w:rsidR="00C7746D" w:rsidRPr="00D5629E" w:rsidRDefault="00C7746D" w:rsidP="00D5629E">
            <w:pPr>
              <w:pStyle w:val="TableTextL"/>
            </w:pPr>
            <w:r w:rsidRPr="00D5629E">
              <w:t>Imperial County</w:t>
            </w:r>
          </w:p>
        </w:tc>
        <w:tc>
          <w:tcPr>
            <w:tcW w:w="924" w:type="dxa"/>
            <w:shd w:val="clear" w:color="auto" w:fill="auto"/>
            <w:noWrap/>
            <w:vAlign w:val="center"/>
            <w:hideMark/>
          </w:tcPr>
          <w:p w14:paraId="3282831F" w14:textId="77777777" w:rsidR="00C7746D" w:rsidRPr="00465332" w:rsidRDefault="00C7746D" w:rsidP="00D5629E">
            <w:pPr>
              <w:pStyle w:val="TableText"/>
              <w:rPr>
                <w:color w:val="000000"/>
                <w:sz w:val="16"/>
                <w:szCs w:val="16"/>
              </w:rPr>
            </w:pPr>
            <w:r w:rsidRPr="00465332">
              <w:rPr>
                <w:color w:val="000000"/>
                <w:sz w:val="16"/>
                <w:szCs w:val="16"/>
              </w:rPr>
              <w:t>190,624</w:t>
            </w:r>
          </w:p>
        </w:tc>
        <w:tc>
          <w:tcPr>
            <w:tcW w:w="1170" w:type="dxa"/>
            <w:shd w:val="clear" w:color="auto" w:fill="auto"/>
            <w:noWrap/>
            <w:vAlign w:val="center"/>
            <w:hideMark/>
          </w:tcPr>
          <w:p w14:paraId="53ED0B3C" w14:textId="77777777" w:rsidR="00C7746D" w:rsidRPr="00465332" w:rsidRDefault="00C7746D" w:rsidP="00D5629E">
            <w:pPr>
              <w:pStyle w:val="TableText"/>
              <w:rPr>
                <w:color w:val="000000"/>
                <w:sz w:val="16"/>
                <w:szCs w:val="16"/>
              </w:rPr>
            </w:pPr>
            <w:r w:rsidRPr="00465332">
              <w:rPr>
                <w:color w:val="000000"/>
                <w:sz w:val="16"/>
                <w:szCs w:val="16"/>
              </w:rPr>
              <w:t>195,814</w:t>
            </w:r>
          </w:p>
        </w:tc>
        <w:tc>
          <w:tcPr>
            <w:tcW w:w="1170" w:type="dxa"/>
            <w:shd w:val="clear" w:color="auto" w:fill="auto"/>
            <w:noWrap/>
            <w:vAlign w:val="center"/>
            <w:hideMark/>
          </w:tcPr>
          <w:p w14:paraId="47D4E7DF" w14:textId="77777777" w:rsidR="00C7746D" w:rsidRPr="00465332" w:rsidRDefault="00C7746D" w:rsidP="00D5629E">
            <w:pPr>
              <w:pStyle w:val="TableText"/>
              <w:rPr>
                <w:color w:val="000000"/>
                <w:sz w:val="16"/>
                <w:szCs w:val="16"/>
              </w:rPr>
            </w:pPr>
            <w:r w:rsidRPr="00465332">
              <w:rPr>
                <w:color w:val="000000"/>
                <w:sz w:val="16"/>
                <w:szCs w:val="16"/>
              </w:rPr>
              <w:t>219,733</w:t>
            </w:r>
          </w:p>
        </w:tc>
        <w:tc>
          <w:tcPr>
            <w:tcW w:w="1170" w:type="dxa"/>
            <w:shd w:val="clear" w:color="auto" w:fill="auto"/>
            <w:noWrap/>
            <w:vAlign w:val="center"/>
            <w:hideMark/>
          </w:tcPr>
          <w:p w14:paraId="4DD01F24" w14:textId="77777777" w:rsidR="00C7746D" w:rsidRPr="00465332" w:rsidRDefault="00C7746D" w:rsidP="00D5629E">
            <w:pPr>
              <w:pStyle w:val="TableText"/>
              <w:rPr>
                <w:color w:val="000000"/>
                <w:sz w:val="16"/>
                <w:szCs w:val="16"/>
              </w:rPr>
            </w:pPr>
            <w:r w:rsidRPr="00465332">
              <w:rPr>
                <w:color w:val="000000"/>
                <w:sz w:val="16"/>
                <w:szCs w:val="16"/>
              </w:rPr>
              <w:t>243,249</w:t>
            </w:r>
          </w:p>
        </w:tc>
        <w:tc>
          <w:tcPr>
            <w:tcW w:w="1170" w:type="dxa"/>
            <w:shd w:val="clear" w:color="auto" w:fill="auto"/>
            <w:noWrap/>
            <w:vAlign w:val="center"/>
            <w:hideMark/>
          </w:tcPr>
          <w:p w14:paraId="44478CB5" w14:textId="77777777" w:rsidR="00C7746D" w:rsidRPr="00465332" w:rsidRDefault="00C7746D" w:rsidP="00D5629E">
            <w:pPr>
              <w:pStyle w:val="TableText"/>
              <w:rPr>
                <w:color w:val="000000"/>
                <w:sz w:val="16"/>
                <w:szCs w:val="16"/>
              </w:rPr>
            </w:pPr>
            <w:r w:rsidRPr="00465332">
              <w:rPr>
                <w:color w:val="000000"/>
                <w:sz w:val="16"/>
                <w:szCs w:val="16"/>
              </w:rPr>
              <w:t>266,693</w:t>
            </w:r>
          </w:p>
        </w:tc>
        <w:tc>
          <w:tcPr>
            <w:tcW w:w="1170" w:type="dxa"/>
            <w:shd w:val="clear" w:color="auto" w:fill="auto"/>
            <w:noWrap/>
            <w:vAlign w:val="center"/>
            <w:hideMark/>
          </w:tcPr>
          <w:p w14:paraId="07EDD36C" w14:textId="77777777" w:rsidR="00C7746D" w:rsidRPr="00465332" w:rsidRDefault="00C7746D" w:rsidP="00D5629E">
            <w:pPr>
              <w:pStyle w:val="TableText"/>
              <w:rPr>
                <w:color w:val="000000"/>
                <w:sz w:val="16"/>
                <w:szCs w:val="16"/>
              </w:rPr>
            </w:pPr>
            <w:r w:rsidRPr="00465332">
              <w:rPr>
                <w:color w:val="000000"/>
                <w:sz w:val="16"/>
                <w:szCs w:val="16"/>
              </w:rPr>
              <w:t>289,380</w:t>
            </w:r>
          </w:p>
        </w:tc>
        <w:tc>
          <w:tcPr>
            <w:tcW w:w="1440" w:type="dxa"/>
            <w:shd w:val="clear" w:color="auto" w:fill="auto"/>
            <w:noWrap/>
            <w:vAlign w:val="center"/>
            <w:hideMark/>
          </w:tcPr>
          <w:p w14:paraId="49D49DA4" w14:textId="77777777" w:rsidR="00C7746D" w:rsidRPr="00465332" w:rsidRDefault="00C7746D" w:rsidP="00D5629E">
            <w:pPr>
              <w:pStyle w:val="TableText"/>
              <w:rPr>
                <w:sz w:val="16"/>
                <w:szCs w:val="16"/>
              </w:rPr>
            </w:pPr>
            <w:r w:rsidRPr="00465332">
              <w:rPr>
                <w:sz w:val="16"/>
                <w:szCs w:val="16"/>
              </w:rPr>
              <w:t>52%</w:t>
            </w:r>
          </w:p>
        </w:tc>
      </w:tr>
      <w:tr w:rsidR="00C7746D" w:rsidRPr="00465332" w14:paraId="4EA28869" w14:textId="77777777" w:rsidTr="00D114C8">
        <w:trPr>
          <w:trHeight w:val="20"/>
          <w:jc w:val="center"/>
        </w:trPr>
        <w:tc>
          <w:tcPr>
            <w:tcW w:w="1866" w:type="dxa"/>
            <w:shd w:val="clear" w:color="auto" w:fill="auto"/>
            <w:noWrap/>
            <w:vAlign w:val="bottom"/>
            <w:hideMark/>
          </w:tcPr>
          <w:p w14:paraId="195411B1" w14:textId="77777777" w:rsidR="00C7746D" w:rsidRPr="00D5629E" w:rsidRDefault="00C7746D" w:rsidP="00D5629E">
            <w:pPr>
              <w:pStyle w:val="TableTextL"/>
            </w:pPr>
            <w:r w:rsidRPr="00D5629E">
              <w:t>Inyo County</w:t>
            </w:r>
          </w:p>
        </w:tc>
        <w:tc>
          <w:tcPr>
            <w:tcW w:w="924" w:type="dxa"/>
            <w:shd w:val="clear" w:color="auto" w:fill="auto"/>
            <w:noWrap/>
            <w:vAlign w:val="center"/>
            <w:hideMark/>
          </w:tcPr>
          <w:p w14:paraId="4937722A" w14:textId="77777777" w:rsidR="00C7746D" w:rsidRPr="00465332" w:rsidRDefault="00C7746D" w:rsidP="00D5629E">
            <w:pPr>
              <w:pStyle w:val="TableText"/>
              <w:rPr>
                <w:color w:val="000000"/>
                <w:sz w:val="16"/>
                <w:szCs w:val="16"/>
              </w:rPr>
            </w:pPr>
            <w:r w:rsidRPr="00465332">
              <w:rPr>
                <w:color w:val="000000"/>
                <w:sz w:val="16"/>
                <w:szCs w:val="16"/>
              </w:rPr>
              <w:t>18,577</w:t>
            </w:r>
          </w:p>
        </w:tc>
        <w:tc>
          <w:tcPr>
            <w:tcW w:w="1170" w:type="dxa"/>
            <w:shd w:val="clear" w:color="auto" w:fill="auto"/>
            <w:noWrap/>
            <w:vAlign w:val="center"/>
            <w:hideMark/>
          </w:tcPr>
          <w:p w14:paraId="6F239E4E" w14:textId="77777777" w:rsidR="00C7746D" w:rsidRPr="00465332" w:rsidRDefault="00C7746D" w:rsidP="00D5629E">
            <w:pPr>
              <w:pStyle w:val="TableText"/>
              <w:rPr>
                <w:color w:val="000000"/>
                <w:sz w:val="16"/>
                <w:szCs w:val="16"/>
              </w:rPr>
            </w:pPr>
            <w:r w:rsidRPr="00465332">
              <w:rPr>
                <w:color w:val="000000"/>
                <w:sz w:val="16"/>
                <w:szCs w:val="16"/>
              </w:rPr>
              <w:t>18,724</w:t>
            </w:r>
          </w:p>
        </w:tc>
        <w:tc>
          <w:tcPr>
            <w:tcW w:w="1170" w:type="dxa"/>
            <w:shd w:val="clear" w:color="auto" w:fill="auto"/>
            <w:noWrap/>
            <w:vAlign w:val="center"/>
            <w:hideMark/>
          </w:tcPr>
          <w:p w14:paraId="447D0980" w14:textId="77777777" w:rsidR="00C7746D" w:rsidRPr="00465332" w:rsidRDefault="00C7746D" w:rsidP="00D5629E">
            <w:pPr>
              <w:pStyle w:val="TableText"/>
              <w:rPr>
                <w:color w:val="000000"/>
                <w:sz w:val="16"/>
                <w:szCs w:val="16"/>
              </w:rPr>
            </w:pPr>
            <w:r w:rsidRPr="00465332">
              <w:rPr>
                <w:color w:val="000000"/>
                <w:sz w:val="16"/>
                <w:szCs w:val="16"/>
              </w:rPr>
              <w:t>19,118</w:t>
            </w:r>
          </w:p>
        </w:tc>
        <w:tc>
          <w:tcPr>
            <w:tcW w:w="1170" w:type="dxa"/>
            <w:shd w:val="clear" w:color="auto" w:fill="auto"/>
            <w:noWrap/>
            <w:vAlign w:val="center"/>
            <w:hideMark/>
          </w:tcPr>
          <w:p w14:paraId="0BE25463" w14:textId="77777777" w:rsidR="00C7746D" w:rsidRPr="00465332" w:rsidRDefault="00C7746D" w:rsidP="00D5629E">
            <w:pPr>
              <w:pStyle w:val="TableText"/>
              <w:rPr>
                <w:color w:val="000000"/>
                <w:sz w:val="16"/>
                <w:szCs w:val="16"/>
              </w:rPr>
            </w:pPr>
            <w:r w:rsidRPr="00465332">
              <w:rPr>
                <w:color w:val="000000"/>
                <w:sz w:val="16"/>
                <w:szCs w:val="16"/>
              </w:rPr>
              <w:t>19,259</w:t>
            </w:r>
          </w:p>
        </w:tc>
        <w:tc>
          <w:tcPr>
            <w:tcW w:w="1170" w:type="dxa"/>
            <w:shd w:val="clear" w:color="auto" w:fill="auto"/>
            <w:noWrap/>
            <w:vAlign w:val="center"/>
            <w:hideMark/>
          </w:tcPr>
          <w:p w14:paraId="04CC0820" w14:textId="77777777" w:rsidR="00C7746D" w:rsidRPr="00465332" w:rsidRDefault="00C7746D" w:rsidP="00D5629E">
            <w:pPr>
              <w:pStyle w:val="TableText"/>
              <w:rPr>
                <w:color w:val="000000"/>
                <w:sz w:val="16"/>
                <w:szCs w:val="16"/>
              </w:rPr>
            </w:pPr>
            <w:r w:rsidRPr="00465332">
              <w:rPr>
                <w:color w:val="000000"/>
                <w:sz w:val="16"/>
                <w:szCs w:val="16"/>
              </w:rPr>
              <w:t>19,075</w:t>
            </w:r>
          </w:p>
        </w:tc>
        <w:tc>
          <w:tcPr>
            <w:tcW w:w="1170" w:type="dxa"/>
            <w:shd w:val="clear" w:color="auto" w:fill="auto"/>
            <w:noWrap/>
            <w:vAlign w:val="center"/>
            <w:hideMark/>
          </w:tcPr>
          <w:p w14:paraId="226062E8" w14:textId="77777777" w:rsidR="00C7746D" w:rsidRPr="00465332" w:rsidRDefault="00C7746D" w:rsidP="00D5629E">
            <w:pPr>
              <w:pStyle w:val="TableText"/>
              <w:rPr>
                <w:color w:val="000000"/>
                <w:sz w:val="16"/>
                <w:szCs w:val="16"/>
              </w:rPr>
            </w:pPr>
            <w:r w:rsidRPr="00465332">
              <w:rPr>
                <w:color w:val="000000"/>
                <w:sz w:val="16"/>
                <w:szCs w:val="16"/>
              </w:rPr>
              <w:t>18,763</w:t>
            </w:r>
          </w:p>
        </w:tc>
        <w:tc>
          <w:tcPr>
            <w:tcW w:w="1440" w:type="dxa"/>
            <w:shd w:val="clear" w:color="auto" w:fill="auto"/>
            <w:noWrap/>
            <w:vAlign w:val="center"/>
            <w:hideMark/>
          </w:tcPr>
          <w:p w14:paraId="66BF295B" w14:textId="77777777" w:rsidR="00C7746D" w:rsidRPr="00465332" w:rsidRDefault="00C7746D" w:rsidP="00D5629E">
            <w:pPr>
              <w:pStyle w:val="TableText"/>
              <w:rPr>
                <w:sz w:val="16"/>
                <w:szCs w:val="16"/>
              </w:rPr>
            </w:pPr>
            <w:r w:rsidRPr="00465332">
              <w:rPr>
                <w:sz w:val="16"/>
                <w:szCs w:val="16"/>
              </w:rPr>
              <w:t>1%</w:t>
            </w:r>
          </w:p>
        </w:tc>
      </w:tr>
      <w:tr w:rsidR="00C7746D" w:rsidRPr="00465332" w14:paraId="543B3E57" w14:textId="77777777" w:rsidTr="00D114C8">
        <w:trPr>
          <w:trHeight w:val="20"/>
          <w:jc w:val="center"/>
        </w:trPr>
        <w:tc>
          <w:tcPr>
            <w:tcW w:w="1866" w:type="dxa"/>
            <w:shd w:val="clear" w:color="auto" w:fill="auto"/>
            <w:noWrap/>
            <w:vAlign w:val="bottom"/>
            <w:hideMark/>
          </w:tcPr>
          <w:p w14:paraId="4C5803C1" w14:textId="77777777" w:rsidR="00C7746D" w:rsidRPr="00D5629E" w:rsidRDefault="00C7746D" w:rsidP="00D5629E">
            <w:pPr>
              <w:pStyle w:val="TableTextL"/>
            </w:pPr>
            <w:r w:rsidRPr="00D5629E">
              <w:t>Kern County</w:t>
            </w:r>
          </w:p>
        </w:tc>
        <w:tc>
          <w:tcPr>
            <w:tcW w:w="924" w:type="dxa"/>
            <w:shd w:val="clear" w:color="auto" w:fill="auto"/>
            <w:noWrap/>
            <w:vAlign w:val="center"/>
            <w:hideMark/>
          </w:tcPr>
          <w:p w14:paraId="6794D442" w14:textId="77777777" w:rsidR="00C7746D" w:rsidRPr="00465332" w:rsidRDefault="00C7746D" w:rsidP="00D5629E">
            <w:pPr>
              <w:pStyle w:val="TableText"/>
              <w:rPr>
                <w:color w:val="000000"/>
                <w:sz w:val="16"/>
                <w:szCs w:val="16"/>
              </w:rPr>
            </w:pPr>
            <w:r w:rsidRPr="00465332">
              <w:rPr>
                <w:color w:val="000000"/>
                <w:sz w:val="16"/>
                <w:szCs w:val="16"/>
              </w:rPr>
              <w:t>905,801</w:t>
            </w:r>
          </w:p>
        </w:tc>
        <w:tc>
          <w:tcPr>
            <w:tcW w:w="1170" w:type="dxa"/>
            <w:shd w:val="clear" w:color="auto" w:fill="auto"/>
            <w:noWrap/>
            <w:vAlign w:val="center"/>
            <w:hideMark/>
          </w:tcPr>
          <w:p w14:paraId="539FDD50" w14:textId="77777777" w:rsidR="00C7746D" w:rsidRPr="00465332" w:rsidRDefault="00C7746D" w:rsidP="00D5629E">
            <w:pPr>
              <w:pStyle w:val="TableText"/>
              <w:rPr>
                <w:color w:val="000000"/>
                <w:sz w:val="16"/>
                <w:szCs w:val="16"/>
              </w:rPr>
            </w:pPr>
            <w:r w:rsidRPr="00465332">
              <w:rPr>
                <w:color w:val="000000"/>
                <w:sz w:val="16"/>
                <w:szCs w:val="16"/>
              </w:rPr>
              <w:t>930,885</w:t>
            </w:r>
          </w:p>
        </w:tc>
        <w:tc>
          <w:tcPr>
            <w:tcW w:w="1170" w:type="dxa"/>
            <w:shd w:val="clear" w:color="auto" w:fill="auto"/>
            <w:noWrap/>
            <w:vAlign w:val="center"/>
            <w:hideMark/>
          </w:tcPr>
          <w:p w14:paraId="36FA3123" w14:textId="77777777" w:rsidR="00C7746D" w:rsidRPr="00465332" w:rsidRDefault="00C7746D" w:rsidP="00D5629E">
            <w:pPr>
              <w:pStyle w:val="TableText"/>
              <w:rPr>
                <w:color w:val="000000"/>
                <w:sz w:val="16"/>
                <w:szCs w:val="16"/>
              </w:rPr>
            </w:pPr>
            <w:r w:rsidRPr="00465332">
              <w:rPr>
                <w:color w:val="000000"/>
                <w:sz w:val="16"/>
                <w:szCs w:val="16"/>
              </w:rPr>
              <w:t>1,068,729</w:t>
            </w:r>
          </w:p>
        </w:tc>
        <w:tc>
          <w:tcPr>
            <w:tcW w:w="1170" w:type="dxa"/>
            <w:shd w:val="clear" w:color="auto" w:fill="auto"/>
            <w:noWrap/>
            <w:vAlign w:val="center"/>
            <w:hideMark/>
          </w:tcPr>
          <w:p w14:paraId="373BD4D9" w14:textId="77777777" w:rsidR="00C7746D" w:rsidRPr="00465332" w:rsidRDefault="00C7746D" w:rsidP="00D5629E">
            <w:pPr>
              <w:pStyle w:val="TableText"/>
              <w:rPr>
                <w:color w:val="000000"/>
                <w:sz w:val="16"/>
                <w:szCs w:val="16"/>
              </w:rPr>
            </w:pPr>
            <w:r w:rsidRPr="00465332">
              <w:rPr>
                <w:color w:val="000000"/>
                <w:sz w:val="16"/>
                <w:szCs w:val="16"/>
              </w:rPr>
              <w:t>1,214,656</w:t>
            </w:r>
          </w:p>
        </w:tc>
        <w:tc>
          <w:tcPr>
            <w:tcW w:w="1170" w:type="dxa"/>
            <w:shd w:val="clear" w:color="auto" w:fill="auto"/>
            <w:noWrap/>
            <w:vAlign w:val="center"/>
            <w:hideMark/>
          </w:tcPr>
          <w:p w14:paraId="0D61471A" w14:textId="77777777" w:rsidR="00C7746D" w:rsidRPr="00465332" w:rsidRDefault="00C7746D" w:rsidP="00D5629E">
            <w:pPr>
              <w:pStyle w:val="TableText"/>
              <w:rPr>
                <w:color w:val="000000"/>
                <w:sz w:val="16"/>
                <w:szCs w:val="16"/>
              </w:rPr>
            </w:pPr>
            <w:r w:rsidRPr="00465332">
              <w:rPr>
                <w:color w:val="000000"/>
                <w:sz w:val="16"/>
                <w:szCs w:val="16"/>
              </w:rPr>
              <w:t>1,351,803</w:t>
            </w:r>
          </w:p>
        </w:tc>
        <w:tc>
          <w:tcPr>
            <w:tcW w:w="1170" w:type="dxa"/>
            <w:shd w:val="clear" w:color="auto" w:fill="auto"/>
            <w:noWrap/>
            <w:vAlign w:val="center"/>
            <w:hideMark/>
          </w:tcPr>
          <w:p w14:paraId="67F161BF" w14:textId="77777777" w:rsidR="00C7746D" w:rsidRPr="00465332" w:rsidRDefault="00C7746D" w:rsidP="00D5629E">
            <w:pPr>
              <w:pStyle w:val="TableText"/>
              <w:rPr>
                <w:color w:val="000000"/>
                <w:sz w:val="16"/>
                <w:szCs w:val="16"/>
              </w:rPr>
            </w:pPr>
            <w:r w:rsidRPr="00465332">
              <w:rPr>
                <w:color w:val="000000"/>
                <w:sz w:val="16"/>
                <w:szCs w:val="16"/>
              </w:rPr>
              <w:t>1,489,326</w:t>
            </w:r>
          </w:p>
        </w:tc>
        <w:tc>
          <w:tcPr>
            <w:tcW w:w="1440" w:type="dxa"/>
            <w:shd w:val="clear" w:color="auto" w:fill="auto"/>
            <w:noWrap/>
            <w:vAlign w:val="center"/>
            <w:hideMark/>
          </w:tcPr>
          <w:p w14:paraId="323FCA28" w14:textId="77777777" w:rsidR="00C7746D" w:rsidRPr="00465332" w:rsidRDefault="00C7746D" w:rsidP="00D5629E">
            <w:pPr>
              <w:pStyle w:val="TableText"/>
              <w:rPr>
                <w:sz w:val="16"/>
                <w:szCs w:val="16"/>
              </w:rPr>
            </w:pPr>
            <w:r w:rsidRPr="00465332">
              <w:rPr>
                <w:sz w:val="16"/>
                <w:szCs w:val="16"/>
              </w:rPr>
              <w:t>64%</w:t>
            </w:r>
          </w:p>
        </w:tc>
      </w:tr>
      <w:tr w:rsidR="00C7746D" w:rsidRPr="00465332" w14:paraId="623B448B" w14:textId="77777777" w:rsidTr="00D114C8">
        <w:trPr>
          <w:trHeight w:val="20"/>
          <w:jc w:val="center"/>
        </w:trPr>
        <w:tc>
          <w:tcPr>
            <w:tcW w:w="1866" w:type="dxa"/>
            <w:shd w:val="clear" w:color="auto" w:fill="auto"/>
            <w:noWrap/>
            <w:vAlign w:val="bottom"/>
            <w:hideMark/>
          </w:tcPr>
          <w:p w14:paraId="7FD37953" w14:textId="77777777" w:rsidR="00C7746D" w:rsidRPr="00D5629E" w:rsidRDefault="00C7746D" w:rsidP="00D5629E">
            <w:pPr>
              <w:pStyle w:val="TableTextL"/>
            </w:pPr>
            <w:r w:rsidRPr="00D5629E">
              <w:t>Kings County</w:t>
            </w:r>
          </w:p>
        </w:tc>
        <w:tc>
          <w:tcPr>
            <w:tcW w:w="924" w:type="dxa"/>
            <w:shd w:val="clear" w:color="auto" w:fill="auto"/>
            <w:noWrap/>
            <w:vAlign w:val="center"/>
            <w:hideMark/>
          </w:tcPr>
          <w:p w14:paraId="6EE270AB" w14:textId="77777777" w:rsidR="00C7746D" w:rsidRPr="00465332" w:rsidRDefault="00C7746D" w:rsidP="00D5629E">
            <w:pPr>
              <w:pStyle w:val="TableText"/>
              <w:rPr>
                <w:color w:val="000000"/>
                <w:sz w:val="16"/>
                <w:szCs w:val="16"/>
              </w:rPr>
            </w:pPr>
            <w:r w:rsidRPr="00465332">
              <w:rPr>
                <w:color w:val="000000"/>
                <w:sz w:val="16"/>
                <w:szCs w:val="16"/>
              </w:rPr>
              <w:t>151,662</w:t>
            </w:r>
          </w:p>
        </w:tc>
        <w:tc>
          <w:tcPr>
            <w:tcW w:w="1170" w:type="dxa"/>
            <w:shd w:val="clear" w:color="auto" w:fill="auto"/>
            <w:noWrap/>
            <w:vAlign w:val="center"/>
            <w:hideMark/>
          </w:tcPr>
          <w:p w14:paraId="0009325B" w14:textId="77777777" w:rsidR="00C7746D" w:rsidRPr="00465332" w:rsidRDefault="00C7746D" w:rsidP="00D5629E">
            <w:pPr>
              <w:pStyle w:val="TableText"/>
              <w:rPr>
                <w:color w:val="000000"/>
                <w:sz w:val="16"/>
                <w:szCs w:val="16"/>
              </w:rPr>
            </w:pPr>
            <w:r w:rsidRPr="00465332">
              <w:rPr>
                <w:color w:val="000000"/>
                <w:sz w:val="16"/>
                <w:szCs w:val="16"/>
              </w:rPr>
              <w:t>154,549</w:t>
            </w:r>
          </w:p>
        </w:tc>
        <w:tc>
          <w:tcPr>
            <w:tcW w:w="1170" w:type="dxa"/>
            <w:shd w:val="clear" w:color="auto" w:fill="auto"/>
            <w:noWrap/>
            <w:vAlign w:val="center"/>
            <w:hideMark/>
          </w:tcPr>
          <w:p w14:paraId="7BDD85A0" w14:textId="77777777" w:rsidR="00C7746D" w:rsidRPr="00465332" w:rsidRDefault="00C7746D" w:rsidP="00D5629E">
            <w:pPr>
              <w:pStyle w:val="TableText"/>
              <w:rPr>
                <w:color w:val="000000"/>
                <w:sz w:val="16"/>
                <w:szCs w:val="16"/>
              </w:rPr>
            </w:pPr>
            <w:r w:rsidRPr="00465332">
              <w:rPr>
                <w:color w:val="000000"/>
                <w:sz w:val="16"/>
                <w:szCs w:val="16"/>
              </w:rPr>
              <w:t>170,251</w:t>
            </w:r>
          </w:p>
        </w:tc>
        <w:tc>
          <w:tcPr>
            <w:tcW w:w="1170" w:type="dxa"/>
            <w:shd w:val="clear" w:color="auto" w:fill="auto"/>
            <w:noWrap/>
            <w:vAlign w:val="center"/>
            <w:hideMark/>
          </w:tcPr>
          <w:p w14:paraId="7C5C50A5" w14:textId="77777777" w:rsidR="00C7746D" w:rsidRPr="00465332" w:rsidRDefault="00C7746D" w:rsidP="00D5629E">
            <w:pPr>
              <w:pStyle w:val="TableText"/>
              <w:rPr>
                <w:color w:val="000000"/>
                <w:sz w:val="16"/>
                <w:szCs w:val="16"/>
              </w:rPr>
            </w:pPr>
            <w:r w:rsidRPr="00465332">
              <w:rPr>
                <w:color w:val="000000"/>
                <w:sz w:val="16"/>
                <w:szCs w:val="16"/>
              </w:rPr>
              <w:t>187,194</w:t>
            </w:r>
          </w:p>
        </w:tc>
        <w:tc>
          <w:tcPr>
            <w:tcW w:w="1170" w:type="dxa"/>
            <w:shd w:val="clear" w:color="auto" w:fill="auto"/>
            <w:noWrap/>
            <w:vAlign w:val="center"/>
            <w:hideMark/>
          </w:tcPr>
          <w:p w14:paraId="7C8ECBCA" w14:textId="77777777" w:rsidR="00C7746D" w:rsidRPr="00465332" w:rsidRDefault="00C7746D" w:rsidP="00D5629E">
            <w:pPr>
              <w:pStyle w:val="TableText"/>
              <w:rPr>
                <w:color w:val="000000"/>
                <w:sz w:val="16"/>
                <w:szCs w:val="16"/>
              </w:rPr>
            </w:pPr>
            <w:r w:rsidRPr="00465332">
              <w:rPr>
                <w:color w:val="000000"/>
                <w:sz w:val="16"/>
                <w:szCs w:val="16"/>
              </w:rPr>
              <w:t>202,906</w:t>
            </w:r>
          </w:p>
        </w:tc>
        <w:tc>
          <w:tcPr>
            <w:tcW w:w="1170" w:type="dxa"/>
            <w:shd w:val="clear" w:color="auto" w:fill="auto"/>
            <w:noWrap/>
            <w:vAlign w:val="center"/>
            <w:hideMark/>
          </w:tcPr>
          <w:p w14:paraId="0D2CFC59" w14:textId="77777777" w:rsidR="00C7746D" w:rsidRPr="00465332" w:rsidRDefault="00C7746D" w:rsidP="00D5629E">
            <w:pPr>
              <w:pStyle w:val="TableText"/>
              <w:rPr>
                <w:color w:val="000000"/>
                <w:sz w:val="16"/>
                <w:szCs w:val="16"/>
              </w:rPr>
            </w:pPr>
            <w:r w:rsidRPr="00465332">
              <w:rPr>
                <w:color w:val="000000"/>
                <w:sz w:val="16"/>
                <w:szCs w:val="16"/>
              </w:rPr>
              <w:t>217,204</w:t>
            </w:r>
          </w:p>
        </w:tc>
        <w:tc>
          <w:tcPr>
            <w:tcW w:w="1440" w:type="dxa"/>
            <w:shd w:val="clear" w:color="auto" w:fill="auto"/>
            <w:noWrap/>
            <w:vAlign w:val="center"/>
            <w:hideMark/>
          </w:tcPr>
          <w:p w14:paraId="11D98E78" w14:textId="77777777" w:rsidR="00C7746D" w:rsidRPr="00465332" w:rsidRDefault="00C7746D" w:rsidP="00D5629E">
            <w:pPr>
              <w:pStyle w:val="TableText"/>
              <w:rPr>
                <w:sz w:val="16"/>
                <w:szCs w:val="16"/>
              </w:rPr>
            </w:pPr>
            <w:r w:rsidRPr="00465332">
              <w:rPr>
                <w:sz w:val="16"/>
                <w:szCs w:val="16"/>
              </w:rPr>
              <w:t>43%</w:t>
            </w:r>
          </w:p>
        </w:tc>
      </w:tr>
      <w:tr w:rsidR="00C7746D" w:rsidRPr="00465332" w14:paraId="22552724" w14:textId="77777777" w:rsidTr="00D114C8">
        <w:trPr>
          <w:trHeight w:val="20"/>
          <w:jc w:val="center"/>
        </w:trPr>
        <w:tc>
          <w:tcPr>
            <w:tcW w:w="1866" w:type="dxa"/>
            <w:shd w:val="clear" w:color="auto" w:fill="auto"/>
            <w:noWrap/>
            <w:vAlign w:val="bottom"/>
            <w:hideMark/>
          </w:tcPr>
          <w:p w14:paraId="16C1761E" w14:textId="77777777" w:rsidR="00C7746D" w:rsidRPr="00D5629E" w:rsidRDefault="00C7746D" w:rsidP="00D5629E">
            <w:pPr>
              <w:pStyle w:val="TableTextL"/>
            </w:pPr>
            <w:r w:rsidRPr="00D5629E">
              <w:t>Lake County</w:t>
            </w:r>
          </w:p>
        </w:tc>
        <w:tc>
          <w:tcPr>
            <w:tcW w:w="924" w:type="dxa"/>
            <w:shd w:val="clear" w:color="auto" w:fill="auto"/>
            <w:noWrap/>
            <w:vAlign w:val="center"/>
            <w:hideMark/>
          </w:tcPr>
          <w:p w14:paraId="16DD2CC6" w14:textId="77777777" w:rsidR="00C7746D" w:rsidRPr="00465332" w:rsidRDefault="00C7746D" w:rsidP="00D5629E">
            <w:pPr>
              <w:pStyle w:val="TableText"/>
              <w:rPr>
                <w:color w:val="000000"/>
                <w:sz w:val="16"/>
                <w:szCs w:val="16"/>
              </w:rPr>
            </w:pPr>
            <w:r w:rsidRPr="00465332">
              <w:rPr>
                <w:color w:val="000000"/>
                <w:sz w:val="16"/>
                <w:szCs w:val="16"/>
              </w:rPr>
              <w:t>65,081</w:t>
            </w:r>
          </w:p>
        </w:tc>
        <w:tc>
          <w:tcPr>
            <w:tcW w:w="1170" w:type="dxa"/>
            <w:shd w:val="clear" w:color="auto" w:fill="auto"/>
            <w:noWrap/>
            <w:vAlign w:val="center"/>
            <w:hideMark/>
          </w:tcPr>
          <w:p w14:paraId="3E0B7388" w14:textId="77777777" w:rsidR="00C7746D" w:rsidRPr="00465332" w:rsidRDefault="00C7746D" w:rsidP="00D5629E">
            <w:pPr>
              <w:pStyle w:val="TableText"/>
              <w:rPr>
                <w:color w:val="000000"/>
                <w:sz w:val="16"/>
                <w:szCs w:val="16"/>
              </w:rPr>
            </w:pPr>
            <w:r w:rsidRPr="00465332">
              <w:rPr>
                <w:color w:val="000000"/>
                <w:sz w:val="16"/>
                <w:szCs w:val="16"/>
              </w:rPr>
              <w:t>65,302</w:t>
            </w:r>
          </w:p>
        </w:tc>
        <w:tc>
          <w:tcPr>
            <w:tcW w:w="1170" w:type="dxa"/>
            <w:shd w:val="clear" w:color="auto" w:fill="auto"/>
            <w:noWrap/>
            <w:vAlign w:val="center"/>
            <w:hideMark/>
          </w:tcPr>
          <w:p w14:paraId="585C0CCF" w14:textId="77777777" w:rsidR="00C7746D" w:rsidRPr="00465332" w:rsidRDefault="00C7746D" w:rsidP="00D5629E">
            <w:pPr>
              <w:pStyle w:val="TableText"/>
              <w:rPr>
                <w:color w:val="000000"/>
                <w:sz w:val="16"/>
                <w:szCs w:val="16"/>
              </w:rPr>
            </w:pPr>
            <w:r w:rsidRPr="00465332">
              <w:rPr>
                <w:color w:val="000000"/>
                <w:sz w:val="16"/>
                <w:szCs w:val="16"/>
              </w:rPr>
              <w:t>67,536</w:t>
            </w:r>
          </w:p>
        </w:tc>
        <w:tc>
          <w:tcPr>
            <w:tcW w:w="1170" w:type="dxa"/>
            <w:shd w:val="clear" w:color="auto" w:fill="auto"/>
            <w:noWrap/>
            <w:vAlign w:val="center"/>
            <w:hideMark/>
          </w:tcPr>
          <w:p w14:paraId="5E644A52" w14:textId="77777777" w:rsidR="00C7746D" w:rsidRPr="00465332" w:rsidRDefault="00C7746D" w:rsidP="00D5629E">
            <w:pPr>
              <w:pStyle w:val="TableText"/>
              <w:rPr>
                <w:color w:val="000000"/>
                <w:sz w:val="16"/>
                <w:szCs w:val="16"/>
              </w:rPr>
            </w:pPr>
            <w:r w:rsidRPr="00465332">
              <w:rPr>
                <w:color w:val="000000"/>
                <w:sz w:val="16"/>
                <w:szCs w:val="16"/>
              </w:rPr>
              <w:t>70,093</w:t>
            </w:r>
          </w:p>
        </w:tc>
        <w:tc>
          <w:tcPr>
            <w:tcW w:w="1170" w:type="dxa"/>
            <w:shd w:val="clear" w:color="auto" w:fill="auto"/>
            <w:noWrap/>
            <w:vAlign w:val="center"/>
            <w:hideMark/>
          </w:tcPr>
          <w:p w14:paraId="488425EC" w14:textId="77777777" w:rsidR="00C7746D" w:rsidRPr="00465332" w:rsidRDefault="00C7746D" w:rsidP="00D5629E">
            <w:pPr>
              <w:pStyle w:val="TableText"/>
              <w:rPr>
                <w:color w:val="000000"/>
                <w:sz w:val="16"/>
                <w:szCs w:val="16"/>
              </w:rPr>
            </w:pPr>
            <w:r w:rsidRPr="00465332">
              <w:rPr>
                <w:color w:val="000000"/>
                <w:sz w:val="16"/>
                <w:szCs w:val="16"/>
              </w:rPr>
              <w:t>72,833</w:t>
            </w:r>
          </w:p>
        </w:tc>
        <w:tc>
          <w:tcPr>
            <w:tcW w:w="1170" w:type="dxa"/>
            <w:shd w:val="clear" w:color="auto" w:fill="auto"/>
            <w:noWrap/>
            <w:vAlign w:val="center"/>
            <w:hideMark/>
          </w:tcPr>
          <w:p w14:paraId="10AFAB6D" w14:textId="77777777" w:rsidR="00C7746D" w:rsidRPr="00465332" w:rsidRDefault="00C7746D" w:rsidP="00D5629E">
            <w:pPr>
              <w:pStyle w:val="TableText"/>
              <w:rPr>
                <w:color w:val="000000"/>
                <w:sz w:val="16"/>
                <w:szCs w:val="16"/>
              </w:rPr>
            </w:pPr>
            <w:r w:rsidRPr="00465332">
              <w:rPr>
                <w:color w:val="000000"/>
                <w:sz w:val="16"/>
                <w:szCs w:val="16"/>
              </w:rPr>
              <w:t>76,695</w:t>
            </w:r>
          </w:p>
        </w:tc>
        <w:tc>
          <w:tcPr>
            <w:tcW w:w="1440" w:type="dxa"/>
            <w:shd w:val="clear" w:color="auto" w:fill="auto"/>
            <w:noWrap/>
            <w:vAlign w:val="center"/>
            <w:hideMark/>
          </w:tcPr>
          <w:p w14:paraId="3E501C29" w14:textId="77777777" w:rsidR="00C7746D" w:rsidRPr="00465332" w:rsidRDefault="00C7746D" w:rsidP="00D5629E">
            <w:pPr>
              <w:pStyle w:val="TableText"/>
              <w:rPr>
                <w:sz w:val="16"/>
                <w:szCs w:val="16"/>
              </w:rPr>
            </w:pPr>
            <w:r w:rsidRPr="00465332">
              <w:rPr>
                <w:sz w:val="16"/>
                <w:szCs w:val="16"/>
              </w:rPr>
              <w:t>18%</w:t>
            </w:r>
          </w:p>
        </w:tc>
      </w:tr>
      <w:tr w:rsidR="00C7746D" w:rsidRPr="00465332" w14:paraId="0F925306" w14:textId="77777777" w:rsidTr="00D114C8">
        <w:trPr>
          <w:trHeight w:val="20"/>
          <w:jc w:val="center"/>
        </w:trPr>
        <w:tc>
          <w:tcPr>
            <w:tcW w:w="1866" w:type="dxa"/>
            <w:shd w:val="clear" w:color="auto" w:fill="auto"/>
            <w:noWrap/>
            <w:vAlign w:val="bottom"/>
            <w:hideMark/>
          </w:tcPr>
          <w:p w14:paraId="37CB462D" w14:textId="77777777" w:rsidR="00C7746D" w:rsidRPr="00D5629E" w:rsidRDefault="00C7746D" w:rsidP="00D5629E">
            <w:pPr>
              <w:pStyle w:val="TableTextL"/>
            </w:pPr>
            <w:r w:rsidRPr="00D5629E">
              <w:t>Lassen County</w:t>
            </w:r>
          </w:p>
        </w:tc>
        <w:tc>
          <w:tcPr>
            <w:tcW w:w="924" w:type="dxa"/>
            <w:shd w:val="clear" w:color="auto" w:fill="auto"/>
            <w:noWrap/>
            <w:vAlign w:val="center"/>
            <w:hideMark/>
          </w:tcPr>
          <w:p w14:paraId="0C500BBC" w14:textId="77777777" w:rsidR="00C7746D" w:rsidRPr="00465332" w:rsidRDefault="00C7746D" w:rsidP="00D5629E">
            <w:pPr>
              <w:pStyle w:val="TableText"/>
              <w:rPr>
                <w:color w:val="000000"/>
                <w:sz w:val="16"/>
                <w:szCs w:val="16"/>
              </w:rPr>
            </w:pPr>
            <w:r w:rsidRPr="00465332">
              <w:rPr>
                <w:color w:val="000000"/>
                <w:sz w:val="16"/>
                <w:szCs w:val="16"/>
              </w:rPr>
              <w:t>30,911</w:t>
            </w:r>
          </w:p>
        </w:tc>
        <w:tc>
          <w:tcPr>
            <w:tcW w:w="1170" w:type="dxa"/>
            <w:shd w:val="clear" w:color="auto" w:fill="auto"/>
            <w:noWrap/>
            <w:vAlign w:val="center"/>
            <w:hideMark/>
          </w:tcPr>
          <w:p w14:paraId="75DEE789" w14:textId="77777777" w:rsidR="00C7746D" w:rsidRPr="00465332" w:rsidRDefault="00C7746D" w:rsidP="00D5629E">
            <w:pPr>
              <w:pStyle w:val="TableText"/>
              <w:rPr>
                <w:color w:val="000000"/>
                <w:sz w:val="16"/>
                <w:szCs w:val="16"/>
              </w:rPr>
            </w:pPr>
            <w:r w:rsidRPr="00465332">
              <w:rPr>
                <w:color w:val="000000"/>
                <w:sz w:val="16"/>
                <w:szCs w:val="16"/>
              </w:rPr>
              <w:t>30,626</w:t>
            </w:r>
          </w:p>
        </w:tc>
        <w:tc>
          <w:tcPr>
            <w:tcW w:w="1170" w:type="dxa"/>
            <w:shd w:val="clear" w:color="auto" w:fill="auto"/>
            <w:noWrap/>
            <w:vAlign w:val="center"/>
            <w:hideMark/>
          </w:tcPr>
          <w:p w14:paraId="03657479" w14:textId="77777777" w:rsidR="00C7746D" w:rsidRPr="00465332" w:rsidRDefault="00C7746D" w:rsidP="00D5629E">
            <w:pPr>
              <w:pStyle w:val="TableText"/>
              <w:rPr>
                <w:color w:val="000000"/>
                <w:sz w:val="16"/>
                <w:szCs w:val="16"/>
              </w:rPr>
            </w:pPr>
            <w:r w:rsidRPr="00465332">
              <w:rPr>
                <w:color w:val="000000"/>
                <w:sz w:val="16"/>
                <w:szCs w:val="16"/>
              </w:rPr>
              <w:t>30,157</w:t>
            </w:r>
          </w:p>
        </w:tc>
        <w:tc>
          <w:tcPr>
            <w:tcW w:w="1170" w:type="dxa"/>
            <w:shd w:val="clear" w:color="auto" w:fill="auto"/>
            <w:noWrap/>
            <w:vAlign w:val="center"/>
            <w:hideMark/>
          </w:tcPr>
          <w:p w14:paraId="6632099E" w14:textId="77777777" w:rsidR="00C7746D" w:rsidRPr="00465332" w:rsidRDefault="00C7746D" w:rsidP="00D5629E">
            <w:pPr>
              <w:pStyle w:val="TableText"/>
              <w:rPr>
                <w:color w:val="000000"/>
                <w:sz w:val="16"/>
                <w:szCs w:val="16"/>
              </w:rPr>
            </w:pPr>
            <w:r w:rsidRPr="00465332">
              <w:rPr>
                <w:color w:val="000000"/>
                <w:sz w:val="16"/>
                <w:szCs w:val="16"/>
              </w:rPr>
              <w:t>29,117</w:t>
            </w:r>
          </w:p>
        </w:tc>
        <w:tc>
          <w:tcPr>
            <w:tcW w:w="1170" w:type="dxa"/>
            <w:shd w:val="clear" w:color="auto" w:fill="auto"/>
            <w:noWrap/>
            <w:vAlign w:val="center"/>
            <w:hideMark/>
          </w:tcPr>
          <w:p w14:paraId="28A7CD10" w14:textId="77777777" w:rsidR="00C7746D" w:rsidRPr="00465332" w:rsidRDefault="00C7746D" w:rsidP="00D5629E">
            <w:pPr>
              <w:pStyle w:val="TableText"/>
              <w:rPr>
                <w:color w:val="000000"/>
                <w:sz w:val="16"/>
                <w:szCs w:val="16"/>
              </w:rPr>
            </w:pPr>
            <w:r w:rsidRPr="00465332">
              <w:rPr>
                <w:color w:val="000000"/>
                <w:sz w:val="16"/>
                <w:szCs w:val="16"/>
              </w:rPr>
              <w:t>27,941</w:t>
            </w:r>
          </w:p>
        </w:tc>
        <w:tc>
          <w:tcPr>
            <w:tcW w:w="1170" w:type="dxa"/>
            <w:shd w:val="clear" w:color="auto" w:fill="auto"/>
            <w:noWrap/>
            <w:vAlign w:val="center"/>
            <w:hideMark/>
          </w:tcPr>
          <w:p w14:paraId="4872B069" w14:textId="77777777" w:rsidR="00C7746D" w:rsidRPr="00465332" w:rsidRDefault="00C7746D" w:rsidP="00D5629E">
            <w:pPr>
              <w:pStyle w:val="TableText"/>
              <w:rPr>
                <w:color w:val="000000"/>
                <w:sz w:val="16"/>
                <w:szCs w:val="16"/>
              </w:rPr>
            </w:pPr>
            <w:r w:rsidRPr="00465332">
              <w:rPr>
                <w:color w:val="000000"/>
                <w:sz w:val="16"/>
                <w:szCs w:val="16"/>
              </w:rPr>
              <w:t>26,999</w:t>
            </w:r>
          </w:p>
        </w:tc>
        <w:tc>
          <w:tcPr>
            <w:tcW w:w="1440" w:type="dxa"/>
            <w:shd w:val="clear" w:color="auto" w:fill="auto"/>
            <w:noWrap/>
            <w:vAlign w:val="center"/>
            <w:hideMark/>
          </w:tcPr>
          <w:p w14:paraId="72E67E90" w14:textId="77777777" w:rsidR="00C7746D" w:rsidRPr="00465332" w:rsidRDefault="00C7746D" w:rsidP="00D5629E">
            <w:pPr>
              <w:pStyle w:val="TableText"/>
              <w:rPr>
                <w:sz w:val="16"/>
                <w:szCs w:val="16"/>
              </w:rPr>
            </w:pPr>
            <w:r w:rsidRPr="00465332">
              <w:rPr>
                <w:sz w:val="16"/>
                <w:szCs w:val="16"/>
              </w:rPr>
              <w:t>-13%</w:t>
            </w:r>
          </w:p>
        </w:tc>
      </w:tr>
      <w:tr w:rsidR="00C7746D" w:rsidRPr="00465332" w14:paraId="65A96DB1" w14:textId="77777777" w:rsidTr="00D114C8">
        <w:trPr>
          <w:trHeight w:val="20"/>
          <w:jc w:val="center"/>
        </w:trPr>
        <w:tc>
          <w:tcPr>
            <w:tcW w:w="1866" w:type="dxa"/>
            <w:shd w:val="clear" w:color="auto" w:fill="auto"/>
            <w:noWrap/>
            <w:vAlign w:val="bottom"/>
            <w:hideMark/>
          </w:tcPr>
          <w:p w14:paraId="7B87D8A1" w14:textId="77777777" w:rsidR="00C7746D" w:rsidRPr="00D5629E" w:rsidRDefault="00C7746D" w:rsidP="00D5629E">
            <w:pPr>
              <w:pStyle w:val="TableTextL"/>
            </w:pPr>
            <w:r w:rsidRPr="00D5629E">
              <w:t>Los Angeles County</w:t>
            </w:r>
          </w:p>
        </w:tc>
        <w:tc>
          <w:tcPr>
            <w:tcW w:w="924" w:type="dxa"/>
            <w:shd w:val="clear" w:color="auto" w:fill="auto"/>
            <w:noWrap/>
            <w:vAlign w:val="center"/>
            <w:hideMark/>
          </w:tcPr>
          <w:p w14:paraId="258E9552" w14:textId="6E64E678" w:rsidR="00C7746D" w:rsidRPr="00465332" w:rsidRDefault="00C7746D" w:rsidP="00D5629E">
            <w:pPr>
              <w:pStyle w:val="TableText"/>
              <w:rPr>
                <w:color w:val="000000"/>
                <w:sz w:val="16"/>
                <w:szCs w:val="16"/>
              </w:rPr>
            </w:pPr>
            <w:r w:rsidRPr="00465332">
              <w:t>10,283,729</w:t>
            </w:r>
          </w:p>
        </w:tc>
        <w:tc>
          <w:tcPr>
            <w:tcW w:w="1170" w:type="dxa"/>
            <w:shd w:val="clear" w:color="auto" w:fill="auto"/>
            <w:noWrap/>
            <w:vAlign w:val="center"/>
            <w:hideMark/>
          </w:tcPr>
          <w:p w14:paraId="6A0335F1" w14:textId="521FE68E" w:rsidR="00C7746D" w:rsidRPr="00465332" w:rsidRDefault="00C7746D" w:rsidP="00D5629E">
            <w:pPr>
              <w:pStyle w:val="TableText"/>
              <w:rPr>
                <w:color w:val="000000"/>
                <w:sz w:val="16"/>
                <w:szCs w:val="16"/>
              </w:rPr>
            </w:pPr>
            <w:r w:rsidRPr="00465332">
              <w:t>10,435,036</w:t>
            </w:r>
          </w:p>
        </w:tc>
        <w:tc>
          <w:tcPr>
            <w:tcW w:w="1170" w:type="dxa"/>
            <w:shd w:val="clear" w:color="auto" w:fill="auto"/>
            <w:noWrap/>
            <w:vAlign w:val="center"/>
            <w:hideMark/>
          </w:tcPr>
          <w:p w14:paraId="18393F83" w14:textId="29E0D329" w:rsidR="00C7746D" w:rsidRPr="00465332" w:rsidRDefault="00C7746D" w:rsidP="00D5629E">
            <w:pPr>
              <w:pStyle w:val="TableText"/>
              <w:rPr>
                <w:color w:val="000000"/>
                <w:sz w:val="16"/>
                <w:szCs w:val="16"/>
              </w:rPr>
            </w:pPr>
            <w:r w:rsidRPr="00465332">
              <w:t>10,868,614</w:t>
            </w:r>
          </w:p>
        </w:tc>
        <w:tc>
          <w:tcPr>
            <w:tcW w:w="1170" w:type="dxa"/>
            <w:shd w:val="clear" w:color="auto" w:fill="auto"/>
            <w:noWrap/>
            <w:vAlign w:val="center"/>
            <w:hideMark/>
          </w:tcPr>
          <w:p w14:paraId="674639B6" w14:textId="07C60BE3" w:rsidR="00C7746D" w:rsidRPr="00465332" w:rsidRDefault="00C7746D" w:rsidP="00D5629E">
            <w:pPr>
              <w:pStyle w:val="TableText"/>
              <w:rPr>
                <w:color w:val="000000"/>
                <w:sz w:val="16"/>
                <w:szCs w:val="16"/>
              </w:rPr>
            </w:pPr>
            <w:r w:rsidRPr="00465332">
              <w:t>11,144,846</w:t>
            </w:r>
          </w:p>
        </w:tc>
        <w:tc>
          <w:tcPr>
            <w:tcW w:w="1170" w:type="dxa"/>
            <w:shd w:val="clear" w:color="auto" w:fill="auto"/>
            <w:noWrap/>
            <w:vAlign w:val="center"/>
            <w:hideMark/>
          </w:tcPr>
          <w:p w14:paraId="0C20F302" w14:textId="6D8CC8C4" w:rsidR="00C7746D" w:rsidRPr="00465332" w:rsidRDefault="00C7746D" w:rsidP="00D5629E">
            <w:pPr>
              <w:pStyle w:val="TableText"/>
              <w:rPr>
                <w:color w:val="000000"/>
                <w:sz w:val="16"/>
                <w:szCs w:val="16"/>
              </w:rPr>
            </w:pPr>
            <w:r w:rsidRPr="00465332">
              <w:t>11,257,873</w:t>
            </w:r>
          </w:p>
        </w:tc>
        <w:tc>
          <w:tcPr>
            <w:tcW w:w="1170" w:type="dxa"/>
            <w:shd w:val="clear" w:color="auto" w:fill="auto"/>
            <w:noWrap/>
            <w:vAlign w:val="center"/>
            <w:hideMark/>
          </w:tcPr>
          <w:p w14:paraId="671738D0" w14:textId="6E0B5B1E" w:rsidR="00C7746D" w:rsidRPr="00465332" w:rsidRDefault="00C7746D" w:rsidP="00D5629E">
            <w:pPr>
              <w:pStyle w:val="TableText"/>
              <w:rPr>
                <w:color w:val="000000"/>
                <w:sz w:val="16"/>
                <w:szCs w:val="16"/>
              </w:rPr>
            </w:pPr>
            <w:r w:rsidRPr="00465332">
              <w:t>11,234,711</w:t>
            </w:r>
          </w:p>
        </w:tc>
        <w:tc>
          <w:tcPr>
            <w:tcW w:w="1440" w:type="dxa"/>
            <w:shd w:val="clear" w:color="auto" w:fill="auto"/>
            <w:noWrap/>
            <w:vAlign w:val="center"/>
            <w:hideMark/>
          </w:tcPr>
          <w:p w14:paraId="00EB8066" w14:textId="32B0A332" w:rsidR="00C7746D" w:rsidRPr="00465332" w:rsidRDefault="00C7746D" w:rsidP="00D5629E">
            <w:pPr>
              <w:pStyle w:val="TableText"/>
              <w:rPr>
                <w:sz w:val="16"/>
                <w:szCs w:val="16"/>
              </w:rPr>
            </w:pPr>
            <w:r w:rsidRPr="00465332">
              <w:t>9%</w:t>
            </w:r>
          </w:p>
        </w:tc>
      </w:tr>
      <w:tr w:rsidR="00C7746D" w:rsidRPr="00465332" w14:paraId="1C071630" w14:textId="77777777" w:rsidTr="00D114C8">
        <w:trPr>
          <w:trHeight w:val="20"/>
          <w:jc w:val="center"/>
        </w:trPr>
        <w:tc>
          <w:tcPr>
            <w:tcW w:w="1866" w:type="dxa"/>
            <w:shd w:val="clear" w:color="auto" w:fill="auto"/>
            <w:noWrap/>
            <w:vAlign w:val="bottom"/>
            <w:hideMark/>
          </w:tcPr>
          <w:p w14:paraId="2FE218B0" w14:textId="77777777" w:rsidR="00C7746D" w:rsidRPr="00D5629E" w:rsidRDefault="00C7746D" w:rsidP="00D5629E">
            <w:pPr>
              <w:pStyle w:val="TableTextL"/>
            </w:pPr>
            <w:r w:rsidRPr="00D5629E">
              <w:t>Madera County</w:t>
            </w:r>
          </w:p>
        </w:tc>
        <w:tc>
          <w:tcPr>
            <w:tcW w:w="924" w:type="dxa"/>
            <w:shd w:val="clear" w:color="auto" w:fill="auto"/>
            <w:noWrap/>
            <w:vAlign w:val="center"/>
            <w:hideMark/>
          </w:tcPr>
          <w:p w14:paraId="0FD9E0C5" w14:textId="77777777" w:rsidR="00C7746D" w:rsidRPr="00465332" w:rsidRDefault="00C7746D" w:rsidP="00D5629E">
            <w:pPr>
              <w:pStyle w:val="TableText"/>
              <w:rPr>
                <w:color w:val="000000"/>
                <w:sz w:val="16"/>
                <w:szCs w:val="16"/>
              </w:rPr>
            </w:pPr>
            <w:r w:rsidRPr="00465332">
              <w:rPr>
                <w:color w:val="000000"/>
                <w:sz w:val="16"/>
                <w:szCs w:val="16"/>
              </w:rPr>
              <w:t>158,894</w:t>
            </w:r>
          </w:p>
        </w:tc>
        <w:tc>
          <w:tcPr>
            <w:tcW w:w="1170" w:type="dxa"/>
            <w:shd w:val="clear" w:color="auto" w:fill="auto"/>
            <w:noWrap/>
            <w:vAlign w:val="center"/>
            <w:hideMark/>
          </w:tcPr>
          <w:p w14:paraId="3490AE53" w14:textId="77777777" w:rsidR="00C7746D" w:rsidRPr="00465332" w:rsidRDefault="00C7746D" w:rsidP="00D5629E">
            <w:pPr>
              <w:pStyle w:val="TableText"/>
              <w:rPr>
                <w:color w:val="000000"/>
                <w:sz w:val="16"/>
                <w:szCs w:val="16"/>
              </w:rPr>
            </w:pPr>
            <w:r w:rsidRPr="00465332">
              <w:rPr>
                <w:color w:val="000000"/>
                <w:sz w:val="16"/>
                <w:szCs w:val="16"/>
              </w:rPr>
              <w:t>162,990</w:t>
            </w:r>
          </w:p>
        </w:tc>
        <w:tc>
          <w:tcPr>
            <w:tcW w:w="1170" w:type="dxa"/>
            <w:shd w:val="clear" w:color="auto" w:fill="auto"/>
            <w:noWrap/>
            <w:vAlign w:val="center"/>
            <w:hideMark/>
          </w:tcPr>
          <w:p w14:paraId="2D7C67F1" w14:textId="77777777" w:rsidR="00C7746D" w:rsidRPr="00465332" w:rsidRDefault="00C7746D" w:rsidP="00D5629E">
            <w:pPr>
              <w:pStyle w:val="TableText"/>
              <w:rPr>
                <w:color w:val="000000"/>
                <w:sz w:val="16"/>
                <w:szCs w:val="16"/>
              </w:rPr>
            </w:pPr>
            <w:r w:rsidRPr="00465332">
              <w:rPr>
                <w:color w:val="000000"/>
                <w:sz w:val="16"/>
                <w:szCs w:val="16"/>
              </w:rPr>
              <w:t>186,937</w:t>
            </w:r>
          </w:p>
        </w:tc>
        <w:tc>
          <w:tcPr>
            <w:tcW w:w="1170" w:type="dxa"/>
            <w:shd w:val="clear" w:color="auto" w:fill="auto"/>
            <w:noWrap/>
            <w:vAlign w:val="center"/>
            <w:hideMark/>
          </w:tcPr>
          <w:p w14:paraId="18AC4E76" w14:textId="77777777" w:rsidR="00C7746D" w:rsidRPr="00465332" w:rsidRDefault="00C7746D" w:rsidP="00D5629E">
            <w:pPr>
              <w:pStyle w:val="TableText"/>
              <w:rPr>
                <w:color w:val="000000"/>
                <w:sz w:val="16"/>
                <w:szCs w:val="16"/>
              </w:rPr>
            </w:pPr>
            <w:r w:rsidRPr="00465332">
              <w:rPr>
                <w:color w:val="000000"/>
                <w:sz w:val="16"/>
                <w:szCs w:val="16"/>
              </w:rPr>
              <w:t>212,405</w:t>
            </w:r>
          </w:p>
        </w:tc>
        <w:tc>
          <w:tcPr>
            <w:tcW w:w="1170" w:type="dxa"/>
            <w:shd w:val="clear" w:color="auto" w:fill="auto"/>
            <w:noWrap/>
            <w:vAlign w:val="center"/>
            <w:hideMark/>
          </w:tcPr>
          <w:p w14:paraId="254ACA67" w14:textId="77777777" w:rsidR="00C7746D" w:rsidRPr="00465332" w:rsidRDefault="00C7746D" w:rsidP="00D5629E">
            <w:pPr>
              <w:pStyle w:val="TableText"/>
              <w:rPr>
                <w:color w:val="000000"/>
                <w:sz w:val="16"/>
                <w:szCs w:val="16"/>
              </w:rPr>
            </w:pPr>
            <w:r w:rsidRPr="00465332">
              <w:rPr>
                <w:color w:val="000000"/>
                <w:sz w:val="16"/>
                <w:szCs w:val="16"/>
              </w:rPr>
              <w:t>237,292</w:t>
            </w:r>
          </w:p>
        </w:tc>
        <w:tc>
          <w:tcPr>
            <w:tcW w:w="1170" w:type="dxa"/>
            <w:shd w:val="clear" w:color="auto" w:fill="auto"/>
            <w:noWrap/>
            <w:vAlign w:val="center"/>
            <w:hideMark/>
          </w:tcPr>
          <w:p w14:paraId="41439A79" w14:textId="77777777" w:rsidR="00C7746D" w:rsidRPr="00465332" w:rsidRDefault="00C7746D" w:rsidP="00D5629E">
            <w:pPr>
              <w:pStyle w:val="TableText"/>
              <w:rPr>
                <w:color w:val="000000"/>
                <w:sz w:val="16"/>
                <w:szCs w:val="16"/>
              </w:rPr>
            </w:pPr>
            <w:r w:rsidRPr="00465332">
              <w:rPr>
                <w:color w:val="000000"/>
                <w:sz w:val="16"/>
                <w:szCs w:val="16"/>
              </w:rPr>
              <w:t>262,241</w:t>
            </w:r>
          </w:p>
        </w:tc>
        <w:tc>
          <w:tcPr>
            <w:tcW w:w="1440" w:type="dxa"/>
            <w:shd w:val="clear" w:color="auto" w:fill="auto"/>
            <w:noWrap/>
            <w:vAlign w:val="center"/>
            <w:hideMark/>
          </w:tcPr>
          <w:p w14:paraId="5989F19E" w14:textId="77777777" w:rsidR="00C7746D" w:rsidRPr="00465332" w:rsidRDefault="00C7746D" w:rsidP="00D5629E">
            <w:pPr>
              <w:pStyle w:val="TableText"/>
              <w:rPr>
                <w:sz w:val="16"/>
                <w:szCs w:val="16"/>
              </w:rPr>
            </w:pPr>
            <w:r w:rsidRPr="00465332">
              <w:rPr>
                <w:sz w:val="16"/>
                <w:szCs w:val="16"/>
              </w:rPr>
              <w:t>65%</w:t>
            </w:r>
          </w:p>
        </w:tc>
      </w:tr>
      <w:tr w:rsidR="00C7746D" w:rsidRPr="00465332" w14:paraId="574932D2" w14:textId="77777777" w:rsidTr="00D114C8">
        <w:trPr>
          <w:trHeight w:val="20"/>
          <w:jc w:val="center"/>
        </w:trPr>
        <w:tc>
          <w:tcPr>
            <w:tcW w:w="1866" w:type="dxa"/>
            <w:shd w:val="clear" w:color="auto" w:fill="auto"/>
            <w:noWrap/>
            <w:vAlign w:val="bottom"/>
            <w:hideMark/>
          </w:tcPr>
          <w:p w14:paraId="56EAF678" w14:textId="77777777" w:rsidR="00C7746D" w:rsidRPr="00D5629E" w:rsidRDefault="00C7746D" w:rsidP="00D5629E">
            <w:pPr>
              <w:pStyle w:val="TableTextL"/>
            </w:pPr>
            <w:r w:rsidRPr="00D5629E">
              <w:t>Marin County</w:t>
            </w:r>
          </w:p>
        </w:tc>
        <w:tc>
          <w:tcPr>
            <w:tcW w:w="924" w:type="dxa"/>
            <w:shd w:val="clear" w:color="auto" w:fill="auto"/>
            <w:noWrap/>
            <w:vAlign w:val="center"/>
            <w:hideMark/>
          </w:tcPr>
          <w:p w14:paraId="0EFE3AEE" w14:textId="77777777" w:rsidR="00C7746D" w:rsidRPr="00465332" w:rsidRDefault="00C7746D" w:rsidP="00D5629E">
            <w:pPr>
              <w:pStyle w:val="TableText"/>
              <w:rPr>
                <w:color w:val="000000"/>
                <w:sz w:val="16"/>
                <w:szCs w:val="16"/>
              </w:rPr>
            </w:pPr>
            <w:r w:rsidRPr="00465332">
              <w:rPr>
                <w:color w:val="000000"/>
                <w:sz w:val="16"/>
                <w:szCs w:val="16"/>
              </w:rPr>
              <w:t>263,886</w:t>
            </w:r>
          </w:p>
        </w:tc>
        <w:tc>
          <w:tcPr>
            <w:tcW w:w="1170" w:type="dxa"/>
            <w:shd w:val="clear" w:color="auto" w:fill="auto"/>
            <w:noWrap/>
            <w:vAlign w:val="center"/>
            <w:hideMark/>
          </w:tcPr>
          <w:p w14:paraId="4A276E10" w14:textId="77777777" w:rsidR="00C7746D" w:rsidRPr="00465332" w:rsidRDefault="00C7746D" w:rsidP="00D5629E">
            <w:pPr>
              <w:pStyle w:val="TableText"/>
              <w:rPr>
                <w:color w:val="000000"/>
                <w:sz w:val="16"/>
                <w:szCs w:val="16"/>
              </w:rPr>
            </w:pPr>
            <w:r w:rsidRPr="00465332">
              <w:rPr>
                <w:color w:val="000000"/>
                <w:sz w:val="16"/>
                <w:szCs w:val="16"/>
              </w:rPr>
              <w:t>265,152</w:t>
            </w:r>
          </w:p>
        </w:tc>
        <w:tc>
          <w:tcPr>
            <w:tcW w:w="1170" w:type="dxa"/>
            <w:shd w:val="clear" w:color="auto" w:fill="auto"/>
            <w:noWrap/>
            <w:vAlign w:val="center"/>
            <w:hideMark/>
          </w:tcPr>
          <w:p w14:paraId="65B63F17" w14:textId="77777777" w:rsidR="00C7746D" w:rsidRPr="00465332" w:rsidRDefault="00C7746D" w:rsidP="00D5629E">
            <w:pPr>
              <w:pStyle w:val="TableText"/>
              <w:rPr>
                <w:color w:val="000000"/>
                <w:sz w:val="16"/>
                <w:szCs w:val="16"/>
              </w:rPr>
            </w:pPr>
            <w:r w:rsidRPr="00465332">
              <w:rPr>
                <w:color w:val="000000"/>
                <w:sz w:val="16"/>
                <w:szCs w:val="16"/>
              </w:rPr>
              <w:t>272,375</w:t>
            </w:r>
          </w:p>
        </w:tc>
        <w:tc>
          <w:tcPr>
            <w:tcW w:w="1170" w:type="dxa"/>
            <w:shd w:val="clear" w:color="auto" w:fill="auto"/>
            <w:noWrap/>
            <w:vAlign w:val="center"/>
            <w:hideMark/>
          </w:tcPr>
          <w:p w14:paraId="1B9F490C" w14:textId="77777777" w:rsidR="00C7746D" w:rsidRPr="00465332" w:rsidRDefault="00C7746D" w:rsidP="00D5629E">
            <w:pPr>
              <w:pStyle w:val="TableText"/>
              <w:rPr>
                <w:color w:val="000000"/>
                <w:sz w:val="16"/>
                <w:szCs w:val="16"/>
              </w:rPr>
            </w:pPr>
            <w:r w:rsidRPr="00465332">
              <w:rPr>
                <w:color w:val="000000"/>
                <w:sz w:val="16"/>
                <w:szCs w:val="16"/>
              </w:rPr>
              <w:t>277,087</w:t>
            </w:r>
          </w:p>
        </w:tc>
        <w:tc>
          <w:tcPr>
            <w:tcW w:w="1170" w:type="dxa"/>
            <w:shd w:val="clear" w:color="auto" w:fill="auto"/>
            <w:noWrap/>
            <w:vAlign w:val="center"/>
            <w:hideMark/>
          </w:tcPr>
          <w:p w14:paraId="48C21638" w14:textId="77777777" w:rsidR="00C7746D" w:rsidRPr="00465332" w:rsidRDefault="00C7746D" w:rsidP="00D5629E">
            <w:pPr>
              <w:pStyle w:val="TableText"/>
              <w:rPr>
                <w:color w:val="000000"/>
                <w:sz w:val="16"/>
                <w:szCs w:val="16"/>
              </w:rPr>
            </w:pPr>
            <w:r w:rsidRPr="00465332">
              <w:rPr>
                <w:color w:val="000000"/>
                <w:sz w:val="16"/>
                <w:szCs w:val="16"/>
              </w:rPr>
              <w:t>275,467</w:t>
            </w:r>
          </w:p>
        </w:tc>
        <w:tc>
          <w:tcPr>
            <w:tcW w:w="1170" w:type="dxa"/>
            <w:shd w:val="clear" w:color="auto" w:fill="auto"/>
            <w:noWrap/>
            <w:vAlign w:val="center"/>
            <w:hideMark/>
          </w:tcPr>
          <w:p w14:paraId="58DB3969" w14:textId="77777777" w:rsidR="00C7746D" w:rsidRPr="00465332" w:rsidRDefault="00C7746D" w:rsidP="00D5629E">
            <w:pPr>
              <w:pStyle w:val="TableText"/>
              <w:rPr>
                <w:color w:val="000000"/>
                <w:sz w:val="16"/>
                <w:szCs w:val="16"/>
              </w:rPr>
            </w:pPr>
            <w:r w:rsidRPr="00465332">
              <w:rPr>
                <w:color w:val="000000"/>
                <w:sz w:val="16"/>
                <w:szCs w:val="16"/>
              </w:rPr>
              <w:t>271,601</w:t>
            </w:r>
          </w:p>
        </w:tc>
        <w:tc>
          <w:tcPr>
            <w:tcW w:w="1440" w:type="dxa"/>
            <w:shd w:val="clear" w:color="auto" w:fill="auto"/>
            <w:noWrap/>
            <w:vAlign w:val="center"/>
            <w:hideMark/>
          </w:tcPr>
          <w:p w14:paraId="6D364D87" w14:textId="77777777" w:rsidR="00C7746D" w:rsidRPr="00465332" w:rsidRDefault="00C7746D" w:rsidP="00D5629E">
            <w:pPr>
              <w:pStyle w:val="TableText"/>
              <w:rPr>
                <w:sz w:val="16"/>
                <w:szCs w:val="16"/>
              </w:rPr>
            </w:pPr>
            <w:r w:rsidRPr="00465332">
              <w:rPr>
                <w:sz w:val="16"/>
                <w:szCs w:val="16"/>
              </w:rPr>
              <w:t>3%</w:t>
            </w:r>
          </w:p>
        </w:tc>
      </w:tr>
      <w:tr w:rsidR="00C7746D" w:rsidRPr="00465332" w14:paraId="50894455" w14:textId="77777777" w:rsidTr="00D114C8">
        <w:trPr>
          <w:trHeight w:val="20"/>
          <w:jc w:val="center"/>
        </w:trPr>
        <w:tc>
          <w:tcPr>
            <w:tcW w:w="1866" w:type="dxa"/>
            <w:shd w:val="clear" w:color="auto" w:fill="auto"/>
            <w:noWrap/>
            <w:vAlign w:val="bottom"/>
            <w:hideMark/>
          </w:tcPr>
          <w:p w14:paraId="2E2F8904" w14:textId="77777777" w:rsidR="00C7746D" w:rsidRPr="00D5629E" w:rsidRDefault="00C7746D" w:rsidP="00D5629E">
            <w:pPr>
              <w:pStyle w:val="TableTextL"/>
            </w:pPr>
            <w:r w:rsidRPr="00D5629E">
              <w:t>Mariposa County</w:t>
            </w:r>
          </w:p>
        </w:tc>
        <w:tc>
          <w:tcPr>
            <w:tcW w:w="924" w:type="dxa"/>
            <w:shd w:val="clear" w:color="auto" w:fill="auto"/>
            <w:noWrap/>
            <w:vAlign w:val="center"/>
            <w:hideMark/>
          </w:tcPr>
          <w:p w14:paraId="70A8396A" w14:textId="77777777" w:rsidR="00C7746D" w:rsidRPr="00465332" w:rsidRDefault="00C7746D" w:rsidP="00D5629E">
            <w:pPr>
              <w:pStyle w:val="TableText"/>
              <w:rPr>
                <w:color w:val="000000"/>
                <w:sz w:val="16"/>
                <w:szCs w:val="16"/>
              </w:rPr>
            </w:pPr>
            <w:r w:rsidRPr="00465332">
              <w:rPr>
                <w:color w:val="000000"/>
                <w:sz w:val="16"/>
                <w:szCs w:val="16"/>
              </w:rPr>
              <w:t>18,129</w:t>
            </w:r>
          </w:p>
        </w:tc>
        <w:tc>
          <w:tcPr>
            <w:tcW w:w="1170" w:type="dxa"/>
            <w:shd w:val="clear" w:color="auto" w:fill="auto"/>
            <w:noWrap/>
            <w:vAlign w:val="center"/>
            <w:hideMark/>
          </w:tcPr>
          <w:p w14:paraId="00AF84FB" w14:textId="77777777" w:rsidR="00C7746D" w:rsidRPr="00465332" w:rsidRDefault="00C7746D" w:rsidP="00D5629E">
            <w:pPr>
              <w:pStyle w:val="TableText"/>
              <w:rPr>
                <w:color w:val="000000"/>
                <w:sz w:val="16"/>
                <w:szCs w:val="16"/>
              </w:rPr>
            </w:pPr>
            <w:r w:rsidRPr="00465332">
              <w:rPr>
                <w:color w:val="000000"/>
                <w:sz w:val="16"/>
                <w:szCs w:val="16"/>
              </w:rPr>
              <w:t>18,031</w:t>
            </w:r>
          </w:p>
        </w:tc>
        <w:tc>
          <w:tcPr>
            <w:tcW w:w="1170" w:type="dxa"/>
            <w:shd w:val="clear" w:color="auto" w:fill="auto"/>
            <w:noWrap/>
            <w:vAlign w:val="center"/>
            <w:hideMark/>
          </w:tcPr>
          <w:p w14:paraId="688D5331" w14:textId="77777777" w:rsidR="00C7746D" w:rsidRPr="00465332" w:rsidRDefault="00C7746D" w:rsidP="00D5629E">
            <w:pPr>
              <w:pStyle w:val="TableText"/>
              <w:rPr>
                <w:color w:val="000000"/>
                <w:sz w:val="16"/>
                <w:szCs w:val="16"/>
              </w:rPr>
            </w:pPr>
            <w:r w:rsidRPr="00465332">
              <w:rPr>
                <w:color w:val="000000"/>
                <w:sz w:val="16"/>
                <w:szCs w:val="16"/>
              </w:rPr>
              <w:t>18,419</w:t>
            </w:r>
          </w:p>
        </w:tc>
        <w:tc>
          <w:tcPr>
            <w:tcW w:w="1170" w:type="dxa"/>
            <w:shd w:val="clear" w:color="auto" w:fill="auto"/>
            <w:noWrap/>
            <w:vAlign w:val="center"/>
            <w:hideMark/>
          </w:tcPr>
          <w:p w14:paraId="10BD7FFB" w14:textId="77777777" w:rsidR="00C7746D" w:rsidRPr="00465332" w:rsidRDefault="00C7746D" w:rsidP="00D5629E">
            <w:pPr>
              <w:pStyle w:val="TableText"/>
              <w:rPr>
                <w:color w:val="000000"/>
                <w:sz w:val="16"/>
                <w:szCs w:val="16"/>
              </w:rPr>
            </w:pPr>
            <w:r w:rsidRPr="00465332">
              <w:rPr>
                <w:color w:val="000000"/>
                <w:sz w:val="16"/>
                <w:szCs w:val="16"/>
              </w:rPr>
              <w:t>18,761</w:t>
            </w:r>
          </w:p>
        </w:tc>
        <w:tc>
          <w:tcPr>
            <w:tcW w:w="1170" w:type="dxa"/>
            <w:shd w:val="clear" w:color="auto" w:fill="auto"/>
            <w:noWrap/>
            <w:vAlign w:val="center"/>
            <w:hideMark/>
          </w:tcPr>
          <w:p w14:paraId="50E384D1" w14:textId="77777777" w:rsidR="00C7746D" w:rsidRPr="00465332" w:rsidRDefault="00C7746D" w:rsidP="00D5629E">
            <w:pPr>
              <w:pStyle w:val="TableText"/>
              <w:rPr>
                <w:color w:val="000000"/>
                <w:sz w:val="16"/>
                <w:szCs w:val="16"/>
              </w:rPr>
            </w:pPr>
            <w:r w:rsidRPr="00465332">
              <w:rPr>
                <w:color w:val="000000"/>
                <w:sz w:val="16"/>
                <w:szCs w:val="16"/>
              </w:rPr>
              <w:t>19,050</w:t>
            </w:r>
          </w:p>
        </w:tc>
        <w:tc>
          <w:tcPr>
            <w:tcW w:w="1170" w:type="dxa"/>
            <w:shd w:val="clear" w:color="auto" w:fill="auto"/>
            <w:noWrap/>
            <w:vAlign w:val="center"/>
            <w:hideMark/>
          </w:tcPr>
          <w:p w14:paraId="436B2E73" w14:textId="77777777" w:rsidR="00C7746D" w:rsidRPr="00465332" w:rsidRDefault="00C7746D" w:rsidP="00D5629E">
            <w:pPr>
              <w:pStyle w:val="TableText"/>
              <w:rPr>
                <w:color w:val="000000"/>
                <w:sz w:val="16"/>
                <w:szCs w:val="16"/>
              </w:rPr>
            </w:pPr>
            <w:r w:rsidRPr="00465332">
              <w:rPr>
                <w:color w:val="000000"/>
                <w:sz w:val="16"/>
                <w:szCs w:val="16"/>
              </w:rPr>
              <w:t>19,593</w:t>
            </w:r>
          </w:p>
        </w:tc>
        <w:tc>
          <w:tcPr>
            <w:tcW w:w="1440" w:type="dxa"/>
            <w:shd w:val="clear" w:color="auto" w:fill="auto"/>
            <w:noWrap/>
            <w:vAlign w:val="center"/>
            <w:hideMark/>
          </w:tcPr>
          <w:p w14:paraId="01E1DA88" w14:textId="77777777" w:rsidR="00C7746D" w:rsidRPr="00465332" w:rsidRDefault="00C7746D" w:rsidP="00D5629E">
            <w:pPr>
              <w:pStyle w:val="TableText"/>
              <w:rPr>
                <w:sz w:val="16"/>
                <w:szCs w:val="16"/>
              </w:rPr>
            </w:pPr>
            <w:r w:rsidRPr="00465332">
              <w:rPr>
                <w:sz w:val="16"/>
                <w:szCs w:val="16"/>
              </w:rPr>
              <w:t>8%</w:t>
            </w:r>
          </w:p>
        </w:tc>
      </w:tr>
      <w:tr w:rsidR="00C7746D" w:rsidRPr="00465332" w14:paraId="4E59A875" w14:textId="77777777" w:rsidTr="00D114C8">
        <w:trPr>
          <w:trHeight w:val="20"/>
          <w:jc w:val="center"/>
        </w:trPr>
        <w:tc>
          <w:tcPr>
            <w:tcW w:w="1866" w:type="dxa"/>
            <w:shd w:val="clear" w:color="auto" w:fill="auto"/>
            <w:noWrap/>
            <w:vAlign w:val="bottom"/>
            <w:hideMark/>
          </w:tcPr>
          <w:p w14:paraId="3D0F622C" w14:textId="77777777" w:rsidR="00C7746D" w:rsidRPr="00D5629E" w:rsidRDefault="00C7746D" w:rsidP="00D5629E">
            <w:pPr>
              <w:pStyle w:val="TableTextL"/>
            </w:pPr>
            <w:r w:rsidRPr="00D5629E">
              <w:t>Mendocino County</w:t>
            </w:r>
          </w:p>
        </w:tc>
        <w:tc>
          <w:tcPr>
            <w:tcW w:w="924" w:type="dxa"/>
            <w:shd w:val="clear" w:color="auto" w:fill="auto"/>
            <w:noWrap/>
            <w:vAlign w:val="center"/>
            <w:hideMark/>
          </w:tcPr>
          <w:p w14:paraId="1236150B" w14:textId="77777777" w:rsidR="00C7746D" w:rsidRPr="00465332" w:rsidRDefault="00C7746D" w:rsidP="00D5629E">
            <w:pPr>
              <w:pStyle w:val="TableText"/>
              <w:rPr>
                <w:color w:val="000000"/>
                <w:sz w:val="16"/>
                <w:szCs w:val="16"/>
              </w:rPr>
            </w:pPr>
            <w:r w:rsidRPr="00465332">
              <w:rPr>
                <w:color w:val="000000"/>
                <w:sz w:val="16"/>
                <w:szCs w:val="16"/>
              </w:rPr>
              <w:t>89,299</w:t>
            </w:r>
          </w:p>
        </w:tc>
        <w:tc>
          <w:tcPr>
            <w:tcW w:w="1170" w:type="dxa"/>
            <w:shd w:val="clear" w:color="auto" w:fill="auto"/>
            <w:noWrap/>
            <w:vAlign w:val="center"/>
            <w:hideMark/>
          </w:tcPr>
          <w:p w14:paraId="3FD1FF6B" w14:textId="77777777" w:rsidR="00C7746D" w:rsidRPr="00465332" w:rsidRDefault="00C7746D" w:rsidP="00D5629E">
            <w:pPr>
              <w:pStyle w:val="TableText"/>
              <w:rPr>
                <w:color w:val="000000"/>
                <w:sz w:val="16"/>
                <w:szCs w:val="16"/>
              </w:rPr>
            </w:pPr>
            <w:r w:rsidRPr="00465332">
              <w:rPr>
                <w:color w:val="000000"/>
                <w:sz w:val="16"/>
                <w:szCs w:val="16"/>
              </w:rPr>
              <w:t>90,175</w:t>
            </w:r>
          </w:p>
        </w:tc>
        <w:tc>
          <w:tcPr>
            <w:tcW w:w="1170" w:type="dxa"/>
            <w:shd w:val="clear" w:color="auto" w:fill="auto"/>
            <w:noWrap/>
            <w:vAlign w:val="center"/>
            <w:hideMark/>
          </w:tcPr>
          <w:p w14:paraId="76407D17" w14:textId="77777777" w:rsidR="00C7746D" w:rsidRPr="00465332" w:rsidRDefault="00C7746D" w:rsidP="00D5629E">
            <w:pPr>
              <w:pStyle w:val="TableText"/>
              <w:rPr>
                <w:color w:val="000000"/>
                <w:sz w:val="16"/>
                <w:szCs w:val="16"/>
              </w:rPr>
            </w:pPr>
            <w:r w:rsidRPr="00465332">
              <w:rPr>
                <w:color w:val="000000"/>
                <w:sz w:val="16"/>
                <w:szCs w:val="16"/>
              </w:rPr>
              <w:t>93,452</w:t>
            </w:r>
          </w:p>
        </w:tc>
        <w:tc>
          <w:tcPr>
            <w:tcW w:w="1170" w:type="dxa"/>
            <w:shd w:val="clear" w:color="auto" w:fill="auto"/>
            <w:noWrap/>
            <w:vAlign w:val="center"/>
            <w:hideMark/>
          </w:tcPr>
          <w:p w14:paraId="230BD7AA" w14:textId="77777777" w:rsidR="00C7746D" w:rsidRPr="00465332" w:rsidRDefault="00C7746D" w:rsidP="00D5629E">
            <w:pPr>
              <w:pStyle w:val="TableText"/>
              <w:rPr>
                <w:color w:val="000000"/>
                <w:sz w:val="16"/>
                <w:szCs w:val="16"/>
              </w:rPr>
            </w:pPr>
            <w:r w:rsidRPr="00465332">
              <w:rPr>
                <w:color w:val="000000"/>
                <w:sz w:val="16"/>
                <w:szCs w:val="16"/>
              </w:rPr>
              <w:t>95,124</w:t>
            </w:r>
          </w:p>
        </w:tc>
        <w:tc>
          <w:tcPr>
            <w:tcW w:w="1170" w:type="dxa"/>
            <w:shd w:val="clear" w:color="auto" w:fill="auto"/>
            <w:noWrap/>
            <w:vAlign w:val="center"/>
            <w:hideMark/>
          </w:tcPr>
          <w:p w14:paraId="185D556C" w14:textId="77777777" w:rsidR="00C7746D" w:rsidRPr="00465332" w:rsidRDefault="00C7746D" w:rsidP="00D5629E">
            <w:pPr>
              <w:pStyle w:val="TableText"/>
              <w:rPr>
                <w:color w:val="000000"/>
                <w:sz w:val="16"/>
                <w:szCs w:val="16"/>
              </w:rPr>
            </w:pPr>
            <w:r w:rsidRPr="00465332">
              <w:rPr>
                <w:color w:val="000000"/>
                <w:sz w:val="16"/>
                <w:szCs w:val="16"/>
              </w:rPr>
              <w:t>95,403</w:t>
            </w:r>
          </w:p>
        </w:tc>
        <w:tc>
          <w:tcPr>
            <w:tcW w:w="1170" w:type="dxa"/>
            <w:shd w:val="clear" w:color="auto" w:fill="auto"/>
            <w:noWrap/>
            <w:vAlign w:val="center"/>
            <w:hideMark/>
          </w:tcPr>
          <w:p w14:paraId="4FA2E0B5" w14:textId="77777777" w:rsidR="00C7746D" w:rsidRPr="00465332" w:rsidRDefault="00C7746D" w:rsidP="00D5629E">
            <w:pPr>
              <w:pStyle w:val="TableText"/>
              <w:rPr>
                <w:color w:val="000000"/>
                <w:sz w:val="16"/>
                <w:szCs w:val="16"/>
              </w:rPr>
            </w:pPr>
            <w:r w:rsidRPr="00465332">
              <w:rPr>
                <w:color w:val="000000"/>
                <w:sz w:val="16"/>
                <w:szCs w:val="16"/>
              </w:rPr>
              <w:t>96,164</w:t>
            </w:r>
          </w:p>
        </w:tc>
        <w:tc>
          <w:tcPr>
            <w:tcW w:w="1440" w:type="dxa"/>
            <w:shd w:val="clear" w:color="auto" w:fill="auto"/>
            <w:noWrap/>
            <w:vAlign w:val="center"/>
            <w:hideMark/>
          </w:tcPr>
          <w:p w14:paraId="36935CBE" w14:textId="77777777" w:rsidR="00C7746D" w:rsidRPr="00465332" w:rsidRDefault="00C7746D" w:rsidP="00D5629E">
            <w:pPr>
              <w:pStyle w:val="TableText"/>
              <w:rPr>
                <w:sz w:val="16"/>
                <w:szCs w:val="16"/>
              </w:rPr>
            </w:pPr>
            <w:r w:rsidRPr="00465332">
              <w:rPr>
                <w:sz w:val="16"/>
                <w:szCs w:val="16"/>
              </w:rPr>
              <w:t>8%</w:t>
            </w:r>
          </w:p>
        </w:tc>
      </w:tr>
      <w:tr w:rsidR="00C7746D" w:rsidRPr="00465332" w14:paraId="69173CA4" w14:textId="77777777" w:rsidTr="00D114C8">
        <w:trPr>
          <w:trHeight w:val="20"/>
          <w:jc w:val="center"/>
        </w:trPr>
        <w:tc>
          <w:tcPr>
            <w:tcW w:w="1866" w:type="dxa"/>
            <w:shd w:val="clear" w:color="auto" w:fill="auto"/>
            <w:noWrap/>
            <w:vAlign w:val="bottom"/>
            <w:hideMark/>
          </w:tcPr>
          <w:p w14:paraId="60A07CA0" w14:textId="77777777" w:rsidR="00C7746D" w:rsidRPr="00D5629E" w:rsidRDefault="00C7746D" w:rsidP="00D5629E">
            <w:pPr>
              <w:pStyle w:val="TableTextL"/>
            </w:pPr>
            <w:r w:rsidRPr="00D5629E">
              <w:t>Merced County</w:t>
            </w:r>
          </w:p>
        </w:tc>
        <w:tc>
          <w:tcPr>
            <w:tcW w:w="924" w:type="dxa"/>
            <w:shd w:val="clear" w:color="auto" w:fill="auto"/>
            <w:noWrap/>
            <w:vAlign w:val="center"/>
            <w:hideMark/>
          </w:tcPr>
          <w:p w14:paraId="07D9E417" w14:textId="77777777" w:rsidR="00C7746D" w:rsidRPr="00465332" w:rsidRDefault="00C7746D" w:rsidP="00D5629E">
            <w:pPr>
              <w:pStyle w:val="TableText"/>
              <w:rPr>
                <w:color w:val="000000"/>
                <w:sz w:val="16"/>
                <w:szCs w:val="16"/>
              </w:rPr>
            </w:pPr>
            <w:r w:rsidRPr="00465332">
              <w:rPr>
                <w:color w:val="000000"/>
                <w:sz w:val="16"/>
                <w:szCs w:val="16"/>
              </w:rPr>
              <w:t>279,977</w:t>
            </w:r>
          </w:p>
        </w:tc>
        <w:tc>
          <w:tcPr>
            <w:tcW w:w="1170" w:type="dxa"/>
            <w:shd w:val="clear" w:color="auto" w:fill="auto"/>
            <w:noWrap/>
            <w:vAlign w:val="center"/>
            <w:hideMark/>
          </w:tcPr>
          <w:p w14:paraId="4D0FF14A" w14:textId="77777777" w:rsidR="00C7746D" w:rsidRPr="00465332" w:rsidRDefault="00C7746D" w:rsidP="00D5629E">
            <w:pPr>
              <w:pStyle w:val="TableText"/>
              <w:rPr>
                <w:color w:val="000000"/>
                <w:sz w:val="16"/>
                <w:szCs w:val="16"/>
              </w:rPr>
            </w:pPr>
            <w:r w:rsidRPr="00465332">
              <w:rPr>
                <w:color w:val="000000"/>
                <w:sz w:val="16"/>
                <w:szCs w:val="16"/>
              </w:rPr>
              <w:t>286,746</w:t>
            </w:r>
          </w:p>
        </w:tc>
        <w:tc>
          <w:tcPr>
            <w:tcW w:w="1170" w:type="dxa"/>
            <w:shd w:val="clear" w:color="auto" w:fill="auto"/>
            <w:noWrap/>
            <w:vAlign w:val="center"/>
            <w:hideMark/>
          </w:tcPr>
          <w:p w14:paraId="77A880CA" w14:textId="77777777" w:rsidR="00C7746D" w:rsidRPr="00465332" w:rsidRDefault="00C7746D" w:rsidP="00D5629E">
            <w:pPr>
              <w:pStyle w:val="TableText"/>
              <w:rPr>
                <w:color w:val="000000"/>
                <w:sz w:val="16"/>
                <w:szCs w:val="16"/>
              </w:rPr>
            </w:pPr>
            <w:r w:rsidRPr="00465332">
              <w:rPr>
                <w:color w:val="000000"/>
                <w:sz w:val="16"/>
                <w:szCs w:val="16"/>
              </w:rPr>
              <w:t>326,923</w:t>
            </w:r>
          </w:p>
        </w:tc>
        <w:tc>
          <w:tcPr>
            <w:tcW w:w="1170" w:type="dxa"/>
            <w:shd w:val="clear" w:color="auto" w:fill="auto"/>
            <w:noWrap/>
            <w:vAlign w:val="center"/>
            <w:hideMark/>
          </w:tcPr>
          <w:p w14:paraId="1661CE94" w14:textId="77777777" w:rsidR="00C7746D" w:rsidRPr="00465332" w:rsidRDefault="00C7746D" w:rsidP="00D5629E">
            <w:pPr>
              <w:pStyle w:val="TableText"/>
              <w:rPr>
                <w:color w:val="000000"/>
                <w:sz w:val="16"/>
                <w:szCs w:val="16"/>
              </w:rPr>
            </w:pPr>
            <w:r w:rsidRPr="00465332">
              <w:rPr>
                <w:color w:val="000000"/>
                <w:sz w:val="16"/>
                <w:szCs w:val="16"/>
              </w:rPr>
              <w:t>369,542</w:t>
            </w:r>
          </w:p>
        </w:tc>
        <w:tc>
          <w:tcPr>
            <w:tcW w:w="1170" w:type="dxa"/>
            <w:shd w:val="clear" w:color="auto" w:fill="auto"/>
            <w:noWrap/>
            <w:vAlign w:val="center"/>
            <w:hideMark/>
          </w:tcPr>
          <w:p w14:paraId="413ECDB8" w14:textId="77777777" w:rsidR="00C7746D" w:rsidRPr="00465332" w:rsidRDefault="00C7746D" w:rsidP="00D5629E">
            <w:pPr>
              <w:pStyle w:val="TableText"/>
              <w:rPr>
                <w:color w:val="000000"/>
                <w:sz w:val="16"/>
                <w:szCs w:val="16"/>
              </w:rPr>
            </w:pPr>
            <w:r w:rsidRPr="00465332">
              <w:rPr>
                <w:color w:val="000000"/>
                <w:sz w:val="16"/>
                <w:szCs w:val="16"/>
              </w:rPr>
              <w:t>410,444</w:t>
            </w:r>
          </w:p>
        </w:tc>
        <w:tc>
          <w:tcPr>
            <w:tcW w:w="1170" w:type="dxa"/>
            <w:shd w:val="clear" w:color="auto" w:fill="auto"/>
            <w:noWrap/>
            <w:vAlign w:val="center"/>
            <w:hideMark/>
          </w:tcPr>
          <w:p w14:paraId="2166F066" w14:textId="77777777" w:rsidR="00C7746D" w:rsidRPr="00465332" w:rsidRDefault="00C7746D" w:rsidP="00D5629E">
            <w:pPr>
              <w:pStyle w:val="TableText"/>
              <w:rPr>
                <w:color w:val="000000"/>
                <w:sz w:val="16"/>
                <w:szCs w:val="16"/>
              </w:rPr>
            </w:pPr>
            <w:r w:rsidRPr="00465332">
              <w:rPr>
                <w:color w:val="000000"/>
                <w:sz w:val="16"/>
                <w:szCs w:val="16"/>
              </w:rPr>
              <w:t>452,868</w:t>
            </w:r>
          </w:p>
        </w:tc>
        <w:tc>
          <w:tcPr>
            <w:tcW w:w="1440" w:type="dxa"/>
            <w:shd w:val="clear" w:color="auto" w:fill="auto"/>
            <w:noWrap/>
            <w:vAlign w:val="center"/>
            <w:hideMark/>
          </w:tcPr>
          <w:p w14:paraId="052149C2" w14:textId="77777777" w:rsidR="00C7746D" w:rsidRPr="00465332" w:rsidRDefault="00C7746D" w:rsidP="00D5629E">
            <w:pPr>
              <w:pStyle w:val="TableText"/>
              <w:rPr>
                <w:sz w:val="16"/>
                <w:szCs w:val="16"/>
              </w:rPr>
            </w:pPr>
            <w:r w:rsidRPr="00465332">
              <w:rPr>
                <w:sz w:val="16"/>
                <w:szCs w:val="16"/>
              </w:rPr>
              <w:t>62%</w:t>
            </w:r>
          </w:p>
        </w:tc>
      </w:tr>
      <w:tr w:rsidR="00C7746D" w:rsidRPr="00465332" w14:paraId="1DE381EC" w14:textId="77777777" w:rsidTr="00D114C8">
        <w:trPr>
          <w:trHeight w:val="20"/>
          <w:jc w:val="center"/>
        </w:trPr>
        <w:tc>
          <w:tcPr>
            <w:tcW w:w="1866" w:type="dxa"/>
            <w:shd w:val="clear" w:color="auto" w:fill="auto"/>
            <w:noWrap/>
            <w:vAlign w:val="bottom"/>
            <w:hideMark/>
          </w:tcPr>
          <w:p w14:paraId="3B7E3D04" w14:textId="77777777" w:rsidR="00C7746D" w:rsidRPr="00D5629E" w:rsidRDefault="00C7746D" w:rsidP="00D5629E">
            <w:pPr>
              <w:pStyle w:val="TableTextL"/>
            </w:pPr>
            <w:r w:rsidRPr="00D5629E">
              <w:t>Modoc County</w:t>
            </w:r>
          </w:p>
        </w:tc>
        <w:tc>
          <w:tcPr>
            <w:tcW w:w="924" w:type="dxa"/>
            <w:shd w:val="clear" w:color="auto" w:fill="auto"/>
            <w:noWrap/>
            <w:vAlign w:val="center"/>
            <w:hideMark/>
          </w:tcPr>
          <w:p w14:paraId="74F78955" w14:textId="77777777" w:rsidR="00C7746D" w:rsidRPr="00465332" w:rsidRDefault="00C7746D" w:rsidP="00D5629E">
            <w:pPr>
              <w:pStyle w:val="TableText"/>
              <w:rPr>
                <w:color w:val="000000"/>
                <w:sz w:val="16"/>
                <w:szCs w:val="16"/>
              </w:rPr>
            </w:pPr>
            <w:r w:rsidRPr="00465332">
              <w:rPr>
                <w:color w:val="000000"/>
                <w:sz w:val="16"/>
                <w:szCs w:val="16"/>
              </w:rPr>
              <w:t>9,612</w:t>
            </w:r>
          </w:p>
        </w:tc>
        <w:tc>
          <w:tcPr>
            <w:tcW w:w="1170" w:type="dxa"/>
            <w:shd w:val="clear" w:color="auto" w:fill="auto"/>
            <w:noWrap/>
            <w:vAlign w:val="center"/>
            <w:hideMark/>
          </w:tcPr>
          <w:p w14:paraId="575C7BA3" w14:textId="77777777" w:rsidR="00C7746D" w:rsidRPr="00465332" w:rsidRDefault="00C7746D" w:rsidP="00D5629E">
            <w:pPr>
              <w:pStyle w:val="TableText"/>
              <w:rPr>
                <w:color w:val="000000"/>
                <w:sz w:val="16"/>
                <w:szCs w:val="16"/>
              </w:rPr>
            </w:pPr>
            <w:r w:rsidRPr="00465332">
              <w:rPr>
                <w:color w:val="000000"/>
                <w:sz w:val="16"/>
                <w:szCs w:val="16"/>
              </w:rPr>
              <w:t>9,422</w:t>
            </w:r>
          </w:p>
        </w:tc>
        <w:tc>
          <w:tcPr>
            <w:tcW w:w="1170" w:type="dxa"/>
            <w:shd w:val="clear" w:color="auto" w:fill="auto"/>
            <w:noWrap/>
            <w:vAlign w:val="center"/>
            <w:hideMark/>
          </w:tcPr>
          <w:p w14:paraId="11FFFC80" w14:textId="77777777" w:rsidR="00C7746D" w:rsidRPr="00465332" w:rsidRDefault="00C7746D" w:rsidP="00D5629E">
            <w:pPr>
              <w:pStyle w:val="TableText"/>
              <w:rPr>
                <w:color w:val="000000"/>
                <w:sz w:val="16"/>
                <w:szCs w:val="16"/>
              </w:rPr>
            </w:pPr>
            <w:r w:rsidRPr="00465332">
              <w:rPr>
                <w:color w:val="000000"/>
                <w:sz w:val="16"/>
                <w:szCs w:val="16"/>
              </w:rPr>
              <w:t>9,267</w:t>
            </w:r>
          </w:p>
        </w:tc>
        <w:tc>
          <w:tcPr>
            <w:tcW w:w="1170" w:type="dxa"/>
            <w:shd w:val="clear" w:color="auto" w:fill="auto"/>
            <w:noWrap/>
            <w:vAlign w:val="center"/>
            <w:hideMark/>
          </w:tcPr>
          <w:p w14:paraId="24867DA3" w14:textId="77777777" w:rsidR="00C7746D" w:rsidRPr="00465332" w:rsidRDefault="00C7746D" w:rsidP="00D5629E">
            <w:pPr>
              <w:pStyle w:val="TableText"/>
              <w:rPr>
                <w:color w:val="000000"/>
                <w:sz w:val="16"/>
                <w:szCs w:val="16"/>
              </w:rPr>
            </w:pPr>
            <w:r w:rsidRPr="00465332">
              <w:rPr>
                <w:color w:val="000000"/>
                <w:sz w:val="16"/>
                <w:szCs w:val="16"/>
              </w:rPr>
              <w:t>9,061</w:t>
            </w:r>
          </w:p>
        </w:tc>
        <w:tc>
          <w:tcPr>
            <w:tcW w:w="1170" w:type="dxa"/>
            <w:shd w:val="clear" w:color="auto" w:fill="auto"/>
            <w:noWrap/>
            <w:vAlign w:val="center"/>
            <w:hideMark/>
          </w:tcPr>
          <w:p w14:paraId="568EA676" w14:textId="77777777" w:rsidR="00C7746D" w:rsidRPr="00465332" w:rsidRDefault="00C7746D" w:rsidP="00D5629E">
            <w:pPr>
              <w:pStyle w:val="TableText"/>
              <w:rPr>
                <w:color w:val="000000"/>
                <w:sz w:val="16"/>
                <w:szCs w:val="16"/>
              </w:rPr>
            </w:pPr>
            <w:r w:rsidRPr="00465332">
              <w:rPr>
                <w:color w:val="000000"/>
                <w:sz w:val="16"/>
                <w:szCs w:val="16"/>
              </w:rPr>
              <w:t>8,746</w:t>
            </w:r>
          </w:p>
        </w:tc>
        <w:tc>
          <w:tcPr>
            <w:tcW w:w="1170" w:type="dxa"/>
            <w:shd w:val="clear" w:color="auto" w:fill="auto"/>
            <w:noWrap/>
            <w:vAlign w:val="center"/>
            <w:hideMark/>
          </w:tcPr>
          <w:p w14:paraId="3994EB50" w14:textId="77777777" w:rsidR="00C7746D" w:rsidRPr="00465332" w:rsidRDefault="00C7746D" w:rsidP="00D5629E">
            <w:pPr>
              <w:pStyle w:val="TableText"/>
              <w:rPr>
                <w:color w:val="000000"/>
                <w:sz w:val="16"/>
                <w:szCs w:val="16"/>
              </w:rPr>
            </w:pPr>
            <w:r w:rsidRPr="00465332">
              <w:rPr>
                <w:color w:val="000000"/>
                <w:sz w:val="16"/>
                <w:szCs w:val="16"/>
              </w:rPr>
              <w:t>8,587</w:t>
            </w:r>
          </w:p>
        </w:tc>
        <w:tc>
          <w:tcPr>
            <w:tcW w:w="1440" w:type="dxa"/>
            <w:shd w:val="clear" w:color="auto" w:fill="auto"/>
            <w:noWrap/>
            <w:vAlign w:val="center"/>
            <w:hideMark/>
          </w:tcPr>
          <w:p w14:paraId="21142BDD" w14:textId="77777777" w:rsidR="00C7746D" w:rsidRPr="00465332" w:rsidRDefault="00C7746D" w:rsidP="00D5629E">
            <w:pPr>
              <w:pStyle w:val="TableText"/>
              <w:rPr>
                <w:sz w:val="16"/>
                <w:szCs w:val="16"/>
              </w:rPr>
            </w:pPr>
            <w:r w:rsidRPr="00465332">
              <w:rPr>
                <w:sz w:val="16"/>
                <w:szCs w:val="16"/>
              </w:rPr>
              <w:t>-11%</w:t>
            </w:r>
          </w:p>
        </w:tc>
      </w:tr>
      <w:tr w:rsidR="00C7746D" w:rsidRPr="00465332" w14:paraId="16EEC86A" w14:textId="77777777" w:rsidTr="00D114C8">
        <w:trPr>
          <w:trHeight w:val="20"/>
          <w:jc w:val="center"/>
        </w:trPr>
        <w:tc>
          <w:tcPr>
            <w:tcW w:w="1866" w:type="dxa"/>
            <w:shd w:val="clear" w:color="auto" w:fill="auto"/>
            <w:noWrap/>
            <w:vAlign w:val="bottom"/>
            <w:hideMark/>
          </w:tcPr>
          <w:p w14:paraId="3BFBFCE6" w14:textId="77777777" w:rsidR="00C7746D" w:rsidRPr="00D5629E" w:rsidRDefault="00C7746D" w:rsidP="00D5629E">
            <w:pPr>
              <w:pStyle w:val="TableTextL"/>
            </w:pPr>
            <w:r w:rsidRPr="00D5629E">
              <w:t>Mono County</w:t>
            </w:r>
          </w:p>
        </w:tc>
        <w:tc>
          <w:tcPr>
            <w:tcW w:w="924" w:type="dxa"/>
            <w:shd w:val="clear" w:color="auto" w:fill="auto"/>
            <w:noWrap/>
            <w:vAlign w:val="center"/>
            <w:hideMark/>
          </w:tcPr>
          <w:p w14:paraId="4D21C5F1" w14:textId="77777777" w:rsidR="00C7746D" w:rsidRPr="00465332" w:rsidRDefault="00C7746D" w:rsidP="00D5629E">
            <w:pPr>
              <w:pStyle w:val="TableText"/>
              <w:rPr>
                <w:color w:val="000000"/>
                <w:sz w:val="16"/>
                <w:szCs w:val="16"/>
              </w:rPr>
            </w:pPr>
            <w:r w:rsidRPr="00465332">
              <w:rPr>
                <w:color w:val="000000"/>
                <w:sz w:val="16"/>
                <w:szCs w:val="16"/>
              </w:rPr>
              <w:t>13,822</w:t>
            </w:r>
          </w:p>
        </w:tc>
        <w:tc>
          <w:tcPr>
            <w:tcW w:w="1170" w:type="dxa"/>
            <w:shd w:val="clear" w:color="auto" w:fill="auto"/>
            <w:noWrap/>
            <w:vAlign w:val="center"/>
            <w:hideMark/>
          </w:tcPr>
          <w:p w14:paraId="23B385D8" w14:textId="77777777" w:rsidR="00C7746D" w:rsidRPr="00465332" w:rsidRDefault="00C7746D" w:rsidP="00D5629E">
            <w:pPr>
              <w:pStyle w:val="TableText"/>
              <w:rPr>
                <w:color w:val="000000"/>
                <w:sz w:val="16"/>
                <w:szCs w:val="16"/>
              </w:rPr>
            </w:pPr>
            <w:r w:rsidRPr="00465332">
              <w:rPr>
                <w:color w:val="000000"/>
                <w:sz w:val="16"/>
                <w:szCs w:val="16"/>
              </w:rPr>
              <w:t>13,986</w:t>
            </w:r>
          </w:p>
        </w:tc>
        <w:tc>
          <w:tcPr>
            <w:tcW w:w="1170" w:type="dxa"/>
            <w:shd w:val="clear" w:color="auto" w:fill="auto"/>
            <w:noWrap/>
            <w:vAlign w:val="center"/>
            <w:hideMark/>
          </w:tcPr>
          <w:p w14:paraId="39227A66" w14:textId="77777777" w:rsidR="00C7746D" w:rsidRPr="00465332" w:rsidRDefault="00C7746D" w:rsidP="00D5629E">
            <w:pPr>
              <w:pStyle w:val="TableText"/>
              <w:rPr>
                <w:color w:val="000000"/>
                <w:sz w:val="16"/>
                <w:szCs w:val="16"/>
              </w:rPr>
            </w:pPr>
            <w:r w:rsidRPr="00465332">
              <w:rPr>
                <w:color w:val="000000"/>
                <w:sz w:val="16"/>
                <w:szCs w:val="16"/>
              </w:rPr>
              <w:t>14,663</w:t>
            </w:r>
          </w:p>
        </w:tc>
        <w:tc>
          <w:tcPr>
            <w:tcW w:w="1170" w:type="dxa"/>
            <w:shd w:val="clear" w:color="auto" w:fill="auto"/>
            <w:noWrap/>
            <w:vAlign w:val="center"/>
            <w:hideMark/>
          </w:tcPr>
          <w:p w14:paraId="7ABE671B" w14:textId="77777777" w:rsidR="00C7746D" w:rsidRPr="00465332" w:rsidRDefault="00C7746D" w:rsidP="00D5629E">
            <w:pPr>
              <w:pStyle w:val="TableText"/>
              <w:rPr>
                <w:color w:val="000000"/>
                <w:sz w:val="16"/>
                <w:szCs w:val="16"/>
              </w:rPr>
            </w:pPr>
            <w:r w:rsidRPr="00465332">
              <w:rPr>
                <w:color w:val="000000"/>
                <w:sz w:val="16"/>
                <w:szCs w:val="16"/>
              </w:rPr>
              <w:t>14,991</w:t>
            </w:r>
          </w:p>
        </w:tc>
        <w:tc>
          <w:tcPr>
            <w:tcW w:w="1170" w:type="dxa"/>
            <w:shd w:val="clear" w:color="auto" w:fill="auto"/>
            <w:noWrap/>
            <w:vAlign w:val="center"/>
            <w:hideMark/>
          </w:tcPr>
          <w:p w14:paraId="75865EA8" w14:textId="77777777" w:rsidR="00C7746D" w:rsidRPr="00465332" w:rsidRDefault="00C7746D" w:rsidP="00D5629E">
            <w:pPr>
              <w:pStyle w:val="TableText"/>
              <w:rPr>
                <w:color w:val="000000"/>
                <w:sz w:val="16"/>
                <w:szCs w:val="16"/>
              </w:rPr>
            </w:pPr>
            <w:r w:rsidRPr="00465332">
              <w:rPr>
                <w:color w:val="000000"/>
                <w:sz w:val="16"/>
                <w:szCs w:val="16"/>
              </w:rPr>
              <w:t>14,749</w:t>
            </w:r>
          </w:p>
        </w:tc>
        <w:tc>
          <w:tcPr>
            <w:tcW w:w="1170" w:type="dxa"/>
            <w:shd w:val="clear" w:color="auto" w:fill="auto"/>
            <w:noWrap/>
            <w:vAlign w:val="center"/>
            <w:hideMark/>
          </w:tcPr>
          <w:p w14:paraId="3EEA49F1" w14:textId="77777777" w:rsidR="00C7746D" w:rsidRPr="00465332" w:rsidRDefault="00C7746D" w:rsidP="00D5629E">
            <w:pPr>
              <w:pStyle w:val="TableText"/>
              <w:rPr>
                <w:color w:val="000000"/>
                <w:sz w:val="16"/>
                <w:szCs w:val="16"/>
              </w:rPr>
            </w:pPr>
            <w:r w:rsidRPr="00465332">
              <w:rPr>
                <w:color w:val="000000"/>
                <w:sz w:val="16"/>
                <w:szCs w:val="16"/>
              </w:rPr>
              <w:t>14,150</w:t>
            </w:r>
          </w:p>
        </w:tc>
        <w:tc>
          <w:tcPr>
            <w:tcW w:w="1440" w:type="dxa"/>
            <w:shd w:val="clear" w:color="auto" w:fill="auto"/>
            <w:noWrap/>
            <w:vAlign w:val="center"/>
            <w:hideMark/>
          </w:tcPr>
          <w:p w14:paraId="3D238695" w14:textId="77777777" w:rsidR="00C7746D" w:rsidRPr="00465332" w:rsidRDefault="00C7746D" w:rsidP="00D5629E">
            <w:pPr>
              <w:pStyle w:val="TableText"/>
              <w:rPr>
                <w:sz w:val="16"/>
                <w:szCs w:val="16"/>
              </w:rPr>
            </w:pPr>
            <w:r w:rsidRPr="00465332">
              <w:rPr>
                <w:sz w:val="16"/>
                <w:szCs w:val="16"/>
              </w:rPr>
              <w:t>2%</w:t>
            </w:r>
          </w:p>
        </w:tc>
      </w:tr>
      <w:tr w:rsidR="00C7746D" w:rsidRPr="00465332" w14:paraId="5A7983B4" w14:textId="77777777" w:rsidTr="00D114C8">
        <w:trPr>
          <w:trHeight w:val="20"/>
          <w:jc w:val="center"/>
        </w:trPr>
        <w:tc>
          <w:tcPr>
            <w:tcW w:w="1866" w:type="dxa"/>
            <w:shd w:val="clear" w:color="auto" w:fill="auto"/>
            <w:noWrap/>
            <w:vAlign w:val="bottom"/>
            <w:hideMark/>
          </w:tcPr>
          <w:p w14:paraId="618B4C85" w14:textId="77777777" w:rsidR="00C7746D" w:rsidRPr="00D5629E" w:rsidRDefault="00C7746D" w:rsidP="00D5629E">
            <w:pPr>
              <w:pStyle w:val="TableTextL"/>
            </w:pPr>
            <w:r w:rsidRPr="00D5629E">
              <w:t>Monterey County</w:t>
            </w:r>
          </w:p>
        </w:tc>
        <w:tc>
          <w:tcPr>
            <w:tcW w:w="924" w:type="dxa"/>
            <w:shd w:val="clear" w:color="auto" w:fill="auto"/>
            <w:noWrap/>
            <w:vAlign w:val="center"/>
            <w:hideMark/>
          </w:tcPr>
          <w:p w14:paraId="38036521" w14:textId="77777777" w:rsidR="00C7746D" w:rsidRPr="00465332" w:rsidRDefault="00C7746D" w:rsidP="00D5629E">
            <w:pPr>
              <w:pStyle w:val="TableText"/>
              <w:rPr>
                <w:color w:val="000000"/>
                <w:sz w:val="16"/>
                <w:szCs w:val="16"/>
              </w:rPr>
            </w:pPr>
            <w:r w:rsidRPr="00465332">
              <w:rPr>
                <w:color w:val="000000"/>
                <w:sz w:val="16"/>
                <w:szCs w:val="16"/>
              </w:rPr>
              <w:t>443,281</w:t>
            </w:r>
          </w:p>
        </w:tc>
        <w:tc>
          <w:tcPr>
            <w:tcW w:w="1170" w:type="dxa"/>
            <w:shd w:val="clear" w:color="auto" w:fill="auto"/>
            <w:noWrap/>
            <w:vAlign w:val="center"/>
            <w:hideMark/>
          </w:tcPr>
          <w:p w14:paraId="754B8285" w14:textId="77777777" w:rsidR="00C7746D" w:rsidRPr="00465332" w:rsidRDefault="00C7746D" w:rsidP="00D5629E">
            <w:pPr>
              <w:pStyle w:val="TableText"/>
              <w:rPr>
                <w:color w:val="000000"/>
                <w:sz w:val="16"/>
                <w:szCs w:val="16"/>
              </w:rPr>
            </w:pPr>
            <w:r w:rsidRPr="00465332">
              <w:rPr>
                <w:color w:val="000000"/>
                <w:sz w:val="16"/>
                <w:szCs w:val="16"/>
              </w:rPr>
              <w:t>454,599</w:t>
            </w:r>
          </w:p>
        </w:tc>
        <w:tc>
          <w:tcPr>
            <w:tcW w:w="1170" w:type="dxa"/>
            <w:shd w:val="clear" w:color="auto" w:fill="auto"/>
            <w:noWrap/>
            <w:vAlign w:val="center"/>
            <w:hideMark/>
          </w:tcPr>
          <w:p w14:paraId="6CDB18DB" w14:textId="77777777" w:rsidR="00C7746D" w:rsidRPr="00465332" w:rsidRDefault="00C7746D" w:rsidP="00D5629E">
            <w:pPr>
              <w:pStyle w:val="TableText"/>
              <w:rPr>
                <w:color w:val="000000"/>
                <w:sz w:val="16"/>
                <w:szCs w:val="16"/>
              </w:rPr>
            </w:pPr>
            <w:r w:rsidRPr="00465332">
              <w:rPr>
                <w:color w:val="000000"/>
                <w:sz w:val="16"/>
                <w:szCs w:val="16"/>
              </w:rPr>
              <w:t>489,001</w:t>
            </w:r>
          </w:p>
        </w:tc>
        <w:tc>
          <w:tcPr>
            <w:tcW w:w="1170" w:type="dxa"/>
            <w:shd w:val="clear" w:color="auto" w:fill="auto"/>
            <w:noWrap/>
            <w:vAlign w:val="center"/>
            <w:hideMark/>
          </w:tcPr>
          <w:p w14:paraId="2C55832B" w14:textId="77777777" w:rsidR="00C7746D" w:rsidRPr="00465332" w:rsidRDefault="00C7746D" w:rsidP="00D5629E">
            <w:pPr>
              <w:pStyle w:val="TableText"/>
              <w:rPr>
                <w:color w:val="000000"/>
                <w:sz w:val="16"/>
                <w:szCs w:val="16"/>
              </w:rPr>
            </w:pPr>
            <w:r w:rsidRPr="00465332">
              <w:rPr>
                <w:color w:val="000000"/>
                <w:sz w:val="16"/>
                <w:szCs w:val="16"/>
              </w:rPr>
              <w:t>518,441</w:t>
            </w:r>
          </w:p>
        </w:tc>
        <w:tc>
          <w:tcPr>
            <w:tcW w:w="1170" w:type="dxa"/>
            <w:shd w:val="clear" w:color="auto" w:fill="auto"/>
            <w:noWrap/>
            <w:vAlign w:val="center"/>
            <w:hideMark/>
          </w:tcPr>
          <w:p w14:paraId="6795DAF7" w14:textId="77777777" w:rsidR="00C7746D" w:rsidRPr="00465332" w:rsidRDefault="00C7746D" w:rsidP="00D5629E">
            <w:pPr>
              <w:pStyle w:val="TableText"/>
              <w:rPr>
                <w:color w:val="000000"/>
                <w:sz w:val="16"/>
                <w:szCs w:val="16"/>
              </w:rPr>
            </w:pPr>
            <w:r w:rsidRPr="00465332">
              <w:rPr>
                <w:color w:val="000000"/>
                <w:sz w:val="16"/>
                <w:szCs w:val="16"/>
              </w:rPr>
              <w:t>538,908</w:t>
            </w:r>
          </w:p>
        </w:tc>
        <w:tc>
          <w:tcPr>
            <w:tcW w:w="1170" w:type="dxa"/>
            <w:shd w:val="clear" w:color="auto" w:fill="auto"/>
            <w:noWrap/>
            <w:vAlign w:val="center"/>
            <w:hideMark/>
          </w:tcPr>
          <w:p w14:paraId="7AFE2778" w14:textId="77777777" w:rsidR="00C7746D" w:rsidRPr="00465332" w:rsidRDefault="00C7746D" w:rsidP="00D5629E">
            <w:pPr>
              <w:pStyle w:val="TableText"/>
              <w:rPr>
                <w:color w:val="000000"/>
                <w:sz w:val="16"/>
                <w:szCs w:val="16"/>
              </w:rPr>
            </w:pPr>
            <w:r w:rsidRPr="00465332">
              <w:rPr>
                <w:color w:val="000000"/>
                <w:sz w:val="16"/>
                <w:szCs w:val="16"/>
              </w:rPr>
              <w:t>552,239</w:t>
            </w:r>
          </w:p>
        </w:tc>
        <w:tc>
          <w:tcPr>
            <w:tcW w:w="1440" w:type="dxa"/>
            <w:shd w:val="clear" w:color="auto" w:fill="auto"/>
            <w:noWrap/>
            <w:vAlign w:val="center"/>
            <w:hideMark/>
          </w:tcPr>
          <w:p w14:paraId="033D1C76" w14:textId="77777777" w:rsidR="00C7746D" w:rsidRPr="00465332" w:rsidRDefault="00C7746D" w:rsidP="00D5629E">
            <w:pPr>
              <w:pStyle w:val="TableText"/>
              <w:rPr>
                <w:sz w:val="16"/>
                <w:szCs w:val="16"/>
              </w:rPr>
            </w:pPr>
            <w:r w:rsidRPr="00465332">
              <w:rPr>
                <w:sz w:val="16"/>
                <w:szCs w:val="16"/>
              </w:rPr>
              <w:t>25%</w:t>
            </w:r>
          </w:p>
        </w:tc>
      </w:tr>
      <w:tr w:rsidR="00C7746D" w:rsidRPr="00465332" w14:paraId="724845CE" w14:textId="77777777" w:rsidTr="00D114C8">
        <w:trPr>
          <w:trHeight w:val="20"/>
          <w:jc w:val="center"/>
        </w:trPr>
        <w:tc>
          <w:tcPr>
            <w:tcW w:w="1866" w:type="dxa"/>
            <w:shd w:val="clear" w:color="auto" w:fill="auto"/>
            <w:noWrap/>
            <w:vAlign w:val="bottom"/>
            <w:hideMark/>
          </w:tcPr>
          <w:p w14:paraId="02BE6A03" w14:textId="77777777" w:rsidR="00C7746D" w:rsidRPr="00D5629E" w:rsidRDefault="00C7746D" w:rsidP="00D5629E">
            <w:pPr>
              <w:pStyle w:val="TableTextL"/>
            </w:pPr>
            <w:r w:rsidRPr="00D5629E">
              <w:t>Napa County</w:t>
            </w:r>
          </w:p>
        </w:tc>
        <w:tc>
          <w:tcPr>
            <w:tcW w:w="924" w:type="dxa"/>
            <w:shd w:val="clear" w:color="auto" w:fill="auto"/>
            <w:noWrap/>
            <w:vAlign w:val="center"/>
            <w:hideMark/>
          </w:tcPr>
          <w:p w14:paraId="5DF5A27F" w14:textId="77777777" w:rsidR="00C7746D" w:rsidRPr="00465332" w:rsidRDefault="00C7746D" w:rsidP="00D5629E">
            <w:pPr>
              <w:pStyle w:val="TableText"/>
              <w:rPr>
                <w:color w:val="000000"/>
                <w:sz w:val="16"/>
                <w:szCs w:val="16"/>
              </w:rPr>
            </w:pPr>
            <w:r w:rsidRPr="00465332">
              <w:rPr>
                <w:color w:val="000000"/>
                <w:sz w:val="16"/>
                <w:szCs w:val="16"/>
              </w:rPr>
              <w:t>141,294</w:t>
            </w:r>
          </w:p>
        </w:tc>
        <w:tc>
          <w:tcPr>
            <w:tcW w:w="1170" w:type="dxa"/>
            <w:shd w:val="clear" w:color="auto" w:fill="auto"/>
            <w:noWrap/>
            <w:vAlign w:val="center"/>
            <w:hideMark/>
          </w:tcPr>
          <w:p w14:paraId="3367BED4" w14:textId="77777777" w:rsidR="00C7746D" w:rsidRPr="00465332" w:rsidRDefault="00C7746D" w:rsidP="00D5629E">
            <w:pPr>
              <w:pStyle w:val="TableText"/>
              <w:rPr>
                <w:color w:val="000000"/>
                <w:sz w:val="16"/>
                <w:szCs w:val="16"/>
              </w:rPr>
            </w:pPr>
            <w:r w:rsidRPr="00465332">
              <w:rPr>
                <w:color w:val="000000"/>
                <w:sz w:val="16"/>
                <w:szCs w:val="16"/>
              </w:rPr>
              <w:t>143,800</w:t>
            </w:r>
          </w:p>
        </w:tc>
        <w:tc>
          <w:tcPr>
            <w:tcW w:w="1170" w:type="dxa"/>
            <w:shd w:val="clear" w:color="auto" w:fill="auto"/>
            <w:noWrap/>
            <w:vAlign w:val="center"/>
            <w:hideMark/>
          </w:tcPr>
          <w:p w14:paraId="2E108995" w14:textId="77777777" w:rsidR="00C7746D" w:rsidRPr="00465332" w:rsidRDefault="00C7746D" w:rsidP="00D5629E">
            <w:pPr>
              <w:pStyle w:val="TableText"/>
              <w:rPr>
                <w:color w:val="000000"/>
                <w:sz w:val="16"/>
                <w:szCs w:val="16"/>
              </w:rPr>
            </w:pPr>
            <w:r w:rsidRPr="00465332">
              <w:rPr>
                <w:color w:val="000000"/>
                <w:sz w:val="16"/>
                <w:szCs w:val="16"/>
              </w:rPr>
              <w:t>152,833</w:t>
            </w:r>
          </w:p>
        </w:tc>
        <w:tc>
          <w:tcPr>
            <w:tcW w:w="1170" w:type="dxa"/>
            <w:shd w:val="clear" w:color="auto" w:fill="auto"/>
            <w:noWrap/>
            <w:vAlign w:val="center"/>
            <w:hideMark/>
          </w:tcPr>
          <w:p w14:paraId="4B7AE64E" w14:textId="77777777" w:rsidR="00C7746D" w:rsidRPr="00465332" w:rsidRDefault="00C7746D" w:rsidP="00D5629E">
            <w:pPr>
              <w:pStyle w:val="TableText"/>
              <w:rPr>
                <w:color w:val="000000"/>
                <w:sz w:val="16"/>
                <w:szCs w:val="16"/>
              </w:rPr>
            </w:pPr>
            <w:r w:rsidRPr="00465332">
              <w:rPr>
                <w:color w:val="000000"/>
                <w:sz w:val="16"/>
                <w:szCs w:val="16"/>
              </w:rPr>
              <w:t>160,521</w:t>
            </w:r>
          </w:p>
        </w:tc>
        <w:tc>
          <w:tcPr>
            <w:tcW w:w="1170" w:type="dxa"/>
            <w:shd w:val="clear" w:color="auto" w:fill="auto"/>
            <w:noWrap/>
            <w:vAlign w:val="center"/>
            <w:hideMark/>
          </w:tcPr>
          <w:p w14:paraId="44E21B9F" w14:textId="77777777" w:rsidR="00C7746D" w:rsidRPr="00465332" w:rsidRDefault="00C7746D" w:rsidP="00D5629E">
            <w:pPr>
              <w:pStyle w:val="TableText"/>
              <w:rPr>
                <w:color w:val="000000"/>
                <w:sz w:val="16"/>
                <w:szCs w:val="16"/>
              </w:rPr>
            </w:pPr>
            <w:r w:rsidRPr="00465332">
              <w:rPr>
                <w:color w:val="000000"/>
                <w:sz w:val="16"/>
                <w:szCs w:val="16"/>
              </w:rPr>
              <w:t>165,360</w:t>
            </w:r>
          </w:p>
        </w:tc>
        <w:tc>
          <w:tcPr>
            <w:tcW w:w="1170" w:type="dxa"/>
            <w:shd w:val="clear" w:color="auto" w:fill="auto"/>
            <w:noWrap/>
            <w:vAlign w:val="center"/>
            <w:hideMark/>
          </w:tcPr>
          <w:p w14:paraId="314A8212" w14:textId="77777777" w:rsidR="00C7746D" w:rsidRPr="00465332" w:rsidRDefault="00C7746D" w:rsidP="00D5629E">
            <w:pPr>
              <w:pStyle w:val="TableText"/>
              <w:rPr>
                <w:color w:val="000000"/>
                <w:sz w:val="16"/>
                <w:szCs w:val="16"/>
              </w:rPr>
            </w:pPr>
            <w:r w:rsidRPr="00465332">
              <w:rPr>
                <w:color w:val="000000"/>
                <w:sz w:val="16"/>
                <w:szCs w:val="16"/>
              </w:rPr>
              <w:t>169,134</w:t>
            </w:r>
          </w:p>
        </w:tc>
        <w:tc>
          <w:tcPr>
            <w:tcW w:w="1440" w:type="dxa"/>
            <w:shd w:val="clear" w:color="auto" w:fill="auto"/>
            <w:noWrap/>
            <w:vAlign w:val="center"/>
            <w:hideMark/>
          </w:tcPr>
          <w:p w14:paraId="126CC82E" w14:textId="77777777" w:rsidR="00C7746D" w:rsidRPr="00465332" w:rsidRDefault="00C7746D" w:rsidP="00D5629E">
            <w:pPr>
              <w:pStyle w:val="TableText"/>
              <w:rPr>
                <w:sz w:val="16"/>
                <w:szCs w:val="16"/>
              </w:rPr>
            </w:pPr>
            <w:r w:rsidRPr="00465332">
              <w:rPr>
                <w:sz w:val="16"/>
                <w:szCs w:val="16"/>
              </w:rPr>
              <w:t>20%</w:t>
            </w:r>
          </w:p>
        </w:tc>
      </w:tr>
      <w:tr w:rsidR="00C7746D" w:rsidRPr="00465332" w14:paraId="4A9F6119" w14:textId="77777777" w:rsidTr="00D114C8">
        <w:trPr>
          <w:trHeight w:val="20"/>
          <w:jc w:val="center"/>
        </w:trPr>
        <w:tc>
          <w:tcPr>
            <w:tcW w:w="1866" w:type="dxa"/>
            <w:shd w:val="clear" w:color="auto" w:fill="auto"/>
            <w:noWrap/>
            <w:vAlign w:val="bottom"/>
            <w:hideMark/>
          </w:tcPr>
          <w:p w14:paraId="59AAD969" w14:textId="77777777" w:rsidR="00C7746D" w:rsidRPr="00D5629E" w:rsidRDefault="00C7746D" w:rsidP="00D5629E">
            <w:pPr>
              <w:pStyle w:val="TableTextL"/>
            </w:pPr>
            <w:r w:rsidRPr="00D5629E">
              <w:t>Nevada County</w:t>
            </w:r>
          </w:p>
        </w:tc>
        <w:tc>
          <w:tcPr>
            <w:tcW w:w="924" w:type="dxa"/>
            <w:shd w:val="clear" w:color="auto" w:fill="auto"/>
            <w:noWrap/>
            <w:vAlign w:val="center"/>
            <w:hideMark/>
          </w:tcPr>
          <w:p w14:paraId="0A636871" w14:textId="77777777" w:rsidR="00C7746D" w:rsidRPr="00465332" w:rsidRDefault="00C7746D" w:rsidP="00D5629E">
            <w:pPr>
              <w:pStyle w:val="TableText"/>
              <w:rPr>
                <w:color w:val="000000"/>
                <w:sz w:val="16"/>
                <w:szCs w:val="16"/>
              </w:rPr>
            </w:pPr>
            <w:r w:rsidRPr="00465332">
              <w:rPr>
                <w:color w:val="000000"/>
                <w:sz w:val="16"/>
                <w:szCs w:val="16"/>
              </w:rPr>
              <w:t>99,155</w:t>
            </w:r>
          </w:p>
        </w:tc>
        <w:tc>
          <w:tcPr>
            <w:tcW w:w="1170" w:type="dxa"/>
            <w:shd w:val="clear" w:color="auto" w:fill="auto"/>
            <w:noWrap/>
            <w:vAlign w:val="center"/>
            <w:hideMark/>
          </w:tcPr>
          <w:p w14:paraId="22AA5B9E" w14:textId="77777777" w:rsidR="00C7746D" w:rsidRPr="00465332" w:rsidRDefault="00C7746D" w:rsidP="00D5629E">
            <w:pPr>
              <w:pStyle w:val="TableText"/>
              <w:rPr>
                <w:color w:val="000000"/>
                <w:sz w:val="16"/>
                <w:szCs w:val="16"/>
              </w:rPr>
            </w:pPr>
            <w:r w:rsidRPr="00465332">
              <w:rPr>
                <w:color w:val="000000"/>
                <w:sz w:val="16"/>
                <w:szCs w:val="16"/>
              </w:rPr>
              <w:t>99,548</w:t>
            </w:r>
          </w:p>
        </w:tc>
        <w:tc>
          <w:tcPr>
            <w:tcW w:w="1170" w:type="dxa"/>
            <w:shd w:val="clear" w:color="auto" w:fill="auto"/>
            <w:noWrap/>
            <w:vAlign w:val="center"/>
            <w:hideMark/>
          </w:tcPr>
          <w:p w14:paraId="7C898873" w14:textId="77777777" w:rsidR="00C7746D" w:rsidRPr="00465332" w:rsidRDefault="00C7746D" w:rsidP="00D5629E">
            <w:pPr>
              <w:pStyle w:val="TableText"/>
              <w:rPr>
                <w:color w:val="000000"/>
                <w:sz w:val="16"/>
                <w:szCs w:val="16"/>
              </w:rPr>
            </w:pPr>
            <w:r w:rsidRPr="00465332">
              <w:rPr>
                <w:color w:val="000000"/>
                <w:sz w:val="16"/>
                <w:szCs w:val="16"/>
              </w:rPr>
              <w:t>105,318</w:t>
            </w:r>
          </w:p>
        </w:tc>
        <w:tc>
          <w:tcPr>
            <w:tcW w:w="1170" w:type="dxa"/>
            <w:shd w:val="clear" w:color="auto" w:fill="auto"/>
            <w:noWrap/>
            <w:vAlign w:val="center"/>
            <w:hideMark/>
          </w:tcPr>
          <w:p w14:paraId="43448BA1" w14:textId="77777777" w:rsidR="00C7746D" w:rsidRPr="00465332" w:rsidRDefault="00C7746D" w:rsidP="00D5629E">
            <w:pPr>
              <w:pStyle w:val="TableText"/>
              <w:rPr>
                <w:color w:val="000000"/>
                <w:sz w:val="16"/>
                <w:szCs w:val="16"/>
              </w:rPr>
            </w:pPr>
            <w:r w:rsidRPr="00465332">
              <w:rPr>
                <w:color w:val="000000"/>
                <w:sz w:val="16"/>
                <w:szCs w:val="16"/>
              </w:rPr>
              <w:t>111,007</w:t>
            </w:r>
          </w:p>
        </w:tc>
        <w:tc>
          <w:tcPr>
            <w:tcW w:w="1170" w:type="dxa"/>
            <w:shd w:val="clear" w:color="auto" w:fill="auto"/>
            <w:noWrap/>
            <w:vAlign w:val="center"/>
            <w:hideMark/>
          </w:tcPr>
          <w:p w14:paraId="37AD7009" w14:textId="77777777" w:rsidR="00C7746D" w:rsidRPr="00465332" w:rsidRDefault="00C7746D" w:rsidP="00D5629E">
            <w:pPr>
              <w:pStyle w:val="TableText"/>
              <w:rPr>
                <w:color w:val="000000"/>
                <w:sz w:val="16"/>
                <w:szCs w:val="16"/>
              </w:rPr>
            </w:pPr>
            <w:r w:rsidRPr="00465332">
              <w:rPr>
                <w:color w:val="000000"/>
                <w:sz w:val="16"/>
                <w:szCs w:val="16"/>
              </w:rPr>
              <w:t>115,407</w:t>
            </w:r>
          </w:p>
        </w:tc>
        <w:tc>
          <w:tcPr>
            <w:tcW w:w="1170" w:type="dxa"/>
            <w:shd w:val="clear" w:color="auto" w:fill="auto"/>
            <w:noWrap/>
            <w:vAlign w:val="center"/>
            <w:hideMark/>
          </w:tcPr>
          <w:p w14:paraId="13AFED3A" w14:textId="77777777" w:rsidR="00C7746D" w:rsidRPr="00465332" w:rsidRDefault="00C7746D" w:rsidP="00D5629E">
            <w:pPr>
              <w:pStyle w:val="TableText"/>
              <w:rPr>
                <w:color w:val="000000"/>
                <w:sz w:val="16"/>
                <w:szCs w:val="16"/>
              </w:rPr>
            </w:pPr>
            <w:r w:rsidRPr="00465332">
              <w:rPr>
                <w:color w:val="000000"/>
                <w:sz w:val="16"/>
                <w:szCs w:val="16"/>
              </w:rPr>
              <w:t>123,265</w:t>
            </w:r>
          </w:p>
        </w:tc>
        <w:tc>
          <w:tcPr>
            <w:tcW w:w="1440" w:type="dxa"/>
            <w:shd w:val="clear" w:color="auto" w:fill="auto"/>
            <w:noWrap/>
            <w:vAlign w:val="center"/>
            <w:hideMark/>
          </w:tcPr>
          <w:p w14:paraId="5F2C8962" w14:textId="77777777" w:rsidR="00C7746D" w:rsidRPr="00465332" w:rsidRDefault="00C7746D" w:rsidP="00D5629E">
            <w:pPr>
              <w:pStyle w:val="TableText"/>
              <w:rPr>
                <w:sz w:val="16"/>
                <w:szCs w:val="16"/>
              </w:rPr>
            </w:pPr>
            <w:r w:rsidRPr="00465332">
              <w:rPr>
                <w:sz w:val="16"/>
                <w:szCs w:val="16"/>
              </w:rPr>
              <w:t>24%</w:t>
            </w:r>
          </w:p>
        </w:tc>
      </w:tr>
      <w:tr w:rsidR="00C7746D" w:rsidRPr="00465332" w14:paraId="71DF9C3A" w14:textId="77777777" w:rsidTr="00D114C8">
        <w:trPr>
          <w:trHeight w:val="20"/>
          <w:jc w:val="center"/>
        </w:trPr>
        <w:tc>
          <w:tcPr>
            <w:tcW w:w="1866" w:type="dxa"/>
            <w:shd w:val="clear" w:color="auto" w:fill="auto"/>
            <w:noWrap/>
            <w:vAlign w:val="bottom"/>
            <w:hideMark/>
          </w:tcPr>
          <w:p w14:paraId="5F5CD685" w14:textId="77777777" w:rsidR="00C7746D" w:rsidRPr="00D5629E" w:rsidRDefault="00C7746D" w:rsidP="00D5629E">
            <w:pPr>
              <w:pStyle w:val="TableTextL"/>
            </w:pPr>
            <w:r w:rsidRPr="00D5629E">
              <w:t>Orange County</w:t>
            </w:r>
          </w:p>
        </w:tc>
        <w:tc>
          <w:tcPr>
            <w:tcW w:w="924" w:type="dxa"/>
            <w:shd w:val="clear" w:color="auto" w:fill="auto"/>
            <w:noWrap/>
            <w:vAlign w:val="center"/>
            <w:hideMark/>
          </w:tcPr>
          <w:p w14:paraId="079E8F60" w14:textId="77777777" w:rsidR="00C7746D" w:rsidRPr="00465332" w:rsidRDefault="00C7746D" w:rsidP="00D5629E">
            <w:pPr>
              <w:pStyle w:val="TableText"/>
              <w:rPr>
                <w:color w:val="000000"/>
                <w:sz w:val="16"/>
                <w:szCs w:val="16"/>
              </w:rPr>
            </w:pPr>
            <w:r w:rsidRPr="00465332">
              <w:rPr>
                <w:color w:val="000000"/>
                <w:sz w:val="16"/>
                <w:szCs w:val="16"/>
              </w:rPr>
              <w:t>3,221,103</w:t>
            </w:r>
          </w:p>
        </w:tc>
        <w:tc>
          <w:tcPr>
            <w:tcW w:w="1170" w:type="dxa"/>
            <w:shd w:val="clear" w:color="auto" w:fill="auto"/>
            <w:noWrap/>
            <w:vAlign w:val="center"/>
            <w:hideMark/>
          </w:tcPr>
          <w:p w14:paraId="68EF0E4B" w14:textId="77777777" w:rsidR="00C7746D" w:rsidRPr="00465332" w:rsidRDefault="00C7746D" w:rsidP="00D5629E">
            <w:pPr>
              <w:pStyle w:val="TableText"/>
              <w:rPr>
                <w:color w:val="000000"/>
                <w:sz w:val="16"/>
                <w:szCs w:val="16"/>
              </w:rPr>
            </w:pPr>
            <w:r w:rsidRPr="00465332">
              <w:rPr>
                <w:color w:val="000000"/>
                <w:sz w:val="16"/>
                <w:szCs w:val="16"/>
              </w:rPr>
              <w:t>3,260,012</w:t>
            </w:r>
          </w:p>
        </w:tc>
        <w:tc>
          <w:tcPr>
            <w:tcW w:w="1170" w:type="dxa"/>
            <w:shd w:val="clear" w:color="auto" w:fill="auto"/>
            <w:noWrap/>
            <w:vAlign w:val="center"/>
            <w:hideMark/>
          </w:tcPr>
          <w:p w14:paraId="36044AD5" w14:textId="77777777" w:rsidR="00C7746D" w:rsidRPr="00465332" w:rsidRDefault="00C7746D" w:rsidP="00D5629E">
            <w:pPr>
              <w:pStyle w:val="TableText"/>
              <w:rPr>
                <w:color w:val="000000"/>
                <w:sz w:val="16"/>
                <w:szCs w:val="16"/>
              </w:rPr>
            </w:pPr>
            <w:r w:rsidRPr="00465332">
              <w:rPr>
                <w:color w:val="000000"/>
                <w:sz w:val="16"/>
                <w:szCs w:val="16"/>
              </w:rPr>
              <w:t>3,433,510</w:t>
            </w:r>
          </w:p>
        </w:tc>
        <w:tc>
          <w:tcPr>
            <w:tcW w:w="1170" w:type="dxa"/>
            <w:shd w:val="clear" w:color="auto" w:fill="auto"/>
            <w:noWrap/>
            <w:vAlign w:val="center"/>
            <w:hideMark/>
          </w:tcPr>
          <w:p w14:paraId="5DB7A352" w14:textId="77777777" w:rsidR="00C7746D" w:rsidRPr="00465332" w:rsidRDefault="00C7746D" w:rsidP="00D5629E">
            <w:pPr>
              <w:pStyle w:val="TableText"/>
              <w:rPr>
                <w:color w:val="000000"/>
                <w:sz w:val="16"/>
                <w:szCs w:val="16"/>
              </w:rPr>
            </w:pPr>
            <w:r w:rsidRPr="00465332">
              <w:rPr>
                <w:color w:val="000000"/>
                <w:sz w:val="16"/>
                <w:szCs w:val="16"/>
              </w:rPr>
              <w:t>3,558,071</w:t>
            </w:r>
          </w:p>
        </w:tc>
        <w:tc>
          <w:tcPr>
            <w:tcW w:w="1170" w:type="dxa"/>
            <w:shd w:val="clear" w:color="auto" w:fill="auto"/>
            <w:noWrap/>
            <w:vAlign w:val="center"/>
            <w:hideMark/>
          </w:tcPr>
          <w:p w14:paraId="690167BD" w14:textId="77777777" w:rsidR="00C7746D" w:rsidRPr="00465332" w:rsidRDefault="00C7746D" w:rsidP="00D5629E">
            <w:pPr>
              <w:pStyle w:val="TableText"/>
              <w:rPr>
                <w:color w:val="000000"/>
                <w:sz w:val="16"/>
                <w:szCs w:val="16"/>
              </w:rPr>
            </w:pPr>
            <w:r w:rsidRPr="00465332">
              <w:rPr>
                <w:color w:val="000000"/>
                <w:sz w:val="16"/>
                <w:szCs w:val="16"/>
              </w:rPr>
              <w:t>3,615,935</w:t>
            </w:r>
          </w:p>
        </w:tc>
        <w:tc>
          <w:tcPr>
            <w:tcW w:w="1170" w:type="dxa"/>
            <w:shd w:val="clear" w:color="auto" w:fill="auto"/>
            <w:noWrap/>
            <w:vAlign w:val="center"/>
            <w:hideMark/>
          </w:tcPr>
          <w:p w14:paraId="75F5AD86" w14:textId="77777777" w:rsidR="00C7746D" w:rsidRPr="00465332" w:rsidRDefault="00C7746D" w:rsidP="00D5629E">
            <w:pPr>
              <w:pStyle w:val="TableText"/>
              <w:rPr>
                <w:color w:val="000000"/>
                <w:sz w:val="16"/>
                <w:szCs w:val="16"/>
              </w:rPr>
            </w:pPr>
            <w:r w:rsidRPr="00465332">
              <w:rPr>
                <w:color w:val="000000"/>
                <w:sz w:val="16"/>
                <w:szCs w:val="16"/>
              </w:rPr>
              <w:t>3,616,576</w:t>
            </w:r>
          </w:p>
        </w:tc>
        <w:tc>
          <w:tcPr>
            <w:tcW w:w="1440" w:type="dxa"/>
            <w:shd w:val="clear" w:color="auto" w:fill="auto"/>
            <w:noWrap/>
            <w:vAlign w:val="center"/>
            <w:hideMark/>
          </w:tcPr>
          <w:p w14:paraId="6D0EF526" w14:textId="77777777" w:rsidR="00C7746D" w:rsidRPr="00465332" w:rsidRDefault="00C7746D" w:rsidP="00D5629E">
            <w:pPr>
              <w:pStyle w:val="TableText"/>
              <w:rPr>
                <w:sz w:val="16"/>
                <w:szCs w:val="16"/>
              </w:rPr>
            </w:pPr>
            <w:r w:rsidRPr="00465332">
              <w:rPr>
                <w:sz w:val="16"/>
                <w:szCs w:val="16"/>
              </w:rPr>
              <w:t>12%</w:t>
            </w:r>
          </w:p>
        </w:tc>
      </w:tr>
      <w:tr w:rsidR="00C7746D" w:rsidRPr="00465332" w14:paraId="54428637" w14:textId="77777777" w:rsidTr="00D114C8">
        <w:trPr>
          <w:trHeight w:val="20"/>
          <w:jc w:val="center"/>
        </w:trPr>
        <w:tc>
          <w:tcPr>
            <w:tcW w:w="1866" w:type="dxa"/>
            <w:shd w:val="clear" w:color="auto" w:fill="auto"/>
            <w:noWrap/>
            <w:vAlign w:val="bottom"/>
            <w:hideMark/>
          </w:tcPr>
          <w:p w14:paraId="2A794CCA" w14:textId="77777777" w:rsidR="00C7746D" w:rsidRPr="00D5629E" w:rsidRDefault="00C7746D" w:rsidP="00D5629E">
            <w:pPr>
              <w:pStyle w:val="TableTextL"/>
            </w:pPr>
            <w:r w:rsidRPr="00D5629E">
              <w:t>Placer County</w:t>
            </w:r>
          </w:p>
        </w:tc>
        <w:tc>
          <w:tcPr>
            <w:tcW w:w="924" w:type="dxa"/>
            <w:shd w:val="clear" w:color="auto" w:fill="auto"/>
            <w:noWrap/>
            <w:vAlign w:val="center"/>
            <w:hideMark/>
          </w:tcPr>
          <w:p w14:paraId="0A83B4A2" w14:textId="77777777" w:rsidR="00C7746D" w:rsidRPr="00465332" w:rsidRDefault="00C7746D" w:rsidP="00D5629E">
            <w:pPr>
              <w:pStyle w:val="TableText"/>
              <w:rPr>
                <w:color w:val="000000"/>
                <w:sz w:val="16"/>
                <w:szCs w:val="16"/>
              </w:rPr>
            </w:pPr>
            <w:r w:rsidRPr="00465332">
              <w:rPr>
                <w:color w:val="000000"/>
                <w:sz w:val="16"/>
                <w:szCs w:val="16"/>
              </w:rPr>
              <w:t>389,532</w:t>
            </w:r>
          </w:p>
        </w:tc>
        <w:tc>
          <w:tcPr>
            <w:tcW w:w="1170" w:type="dxa"/>
            <w:shd w:val="clear" w:color="auto" w:fill="auto"/>
            <w:noWrap/>
            <w:vAlign w:val="center"/>
            <w:hideMark/>
          </w:tcPr>
          <w:p w14:paraId="79B556C2" w14:textId="77777777" w:rsidR="00C7746D" w:rsidRPr="00465332" w:rsidRDefault="00C7746D" w:rsidP="00D5629E">
            <w:pPr>
              <w:pStyle w:val="TableText"/>
              <w:rPr>
                <w:color w:val="000000"/>
                <w:sz w:val="16"/>
                <w:szCs w:val="16"/>
              </w:rPr>
            </w:pPr>
            <w:r w:rsidRPr="00465332">
              <w:rPr>
                <w:color w:val="000000"/>
                <w:sz w:val="16"/>
                <w:szCs w:val="16"/>
              </w:rPr>
              <w:t>397,368</w:t>
            </w:r>
          </w:p>
        </w:tc>
        <w:tc>
          <w:tcPr>
            <w:tcW w:w="1170" w:type="dxa"/>
            <w:shd w:val="clear" w:color="auto" w:fill="auto"/>
            <w:noWrap/>
            <w:vAlign w:val="center"/>
            <w:hideMark/>
          </w:tcPr>
          <w:p w14:paraId="3CCE3B40" w14:textId="77777777" w:rsidR="00C7746D" w:rsidRPr="00465332" w:rsidRDefault="00C7746D" w:rsidP="00D5629E">
            <w:pPr>
              <w:pStyle w:val="TableText"/>
              <w:rPr>
                <w:color w:val="000000"/>
                <w:sz w:val="16"/>
                <w:szCs w:val="16"/>
              </w:rPr>
            </w:pPr>
            <w:r w:rsidRPr="00465332">
              <w:rPr>
                <w:color w:val="000000"/>
                <w:sz w:val="16"/>
                <w:szCs w:val="16"/>
              </w:rPr>
              <w:t>454,801</w:t>
            </w:r>
          </w:p>
        </w:tc>
        <w:tc>
          <w:tcPr>
            <w:tcW w:w="1170" w:type="dxa"/>
            <w:shd w:val="clear" w:color="auto" w:fill="auto"/>
            <w:noWrap/>
            <w:vAlign w:val="center"/>
            <w:hideMark/>
          </w:tcPr>
          <w:p w14:paraId="4EC3D9F2" w14:textId="77777777" w:rsidR="00C7746D" w:rsidRPr="00465332" w:rsidRDefault="00C7746D" w:rsidP="00D5629E">
            <w:pPr>
              <w:pStyle w:val="TableText"/>
              <w:rPr>
                <w:color w:val="000000"/>
                <w:sz w:val="16"/>
                <w:szCs w:val="16"/>
              </w:rPr>
            </w:pPr>
            <w:r w:rsidRPr="00465332">
              <w:rPr>
                <w:color w:val="000000"/>
                <w:sz w:val="16"/>
                <w:szCs w:val="16"/>
              </w:rPr>
              <w:t>508,439</w:t>
            </w:r>
          </w:p>
        </w:tc>
        <w:tc>
          <w:tcPr>
            <w:tcW w:w="1170" w:type="dxa"/>
            <w:shd w:val="clear" w:color="auto" w:fill="auto"/>
            <w:noWrap/>
            <w:vAlign w:val="center"/>
            <w:hideMark/>
          </w:tcPr>
          <w:p w14:paraId="4A8CEEA2" w14:textId="77777777" w:rsidR="00C7746D" w:rsidRPr="00465332" w:rsidRDefault="00C7746D" w:rsidP="00D5629E">
            <w:pPr>
              <w:pStyle w:val="TableText"/>
              <w:rPr>
                <w:color w:val="000000"/>
                <w:sz w:val="16"/>
                <w:szCs w:val="16"/>
              </w:rPr>
            </w:pPr>
            <w:r w:rsidRPr="00465332">
              <w:rPr>
                <w:color w:val="000000"/>
                <w:sz w:val="16"/>
                <w:szCs w:val="16"/>
              </w:rPr>
              <w:t>552,359</w:t>
            </w:r>
          </w:p>
        </w:tc>
        <w:tc>
          <w:tcPr>
            <w:tcW w:w="1170" w:type="dxa"/>
            <w:shd w:val="clear" w:color="auto" w:fill="auto"/>
            <w:noWrap/>
            <w:vAlign w:val="center"/>
            <w:hideMark/>
          </w:tcPr>
          <w:p w14:paraId="1BAB8EE7" w14:textId="77777777" w:rsidR="00C7746D" w:rsidRPr="00465332" w:rsidRDefault="00C7746D" w:rsidP="00D5629E">
            <w:pPr>
              <w:pStyle w:val="TableText"/>
              <w:rPr>
                <w:color w:val="000000"/>
                <w:sz w:val="16"/>
                <w:szCs w:val="16"/>
              </w:rPr>
            </w:pPr>
            <w:r w:rsidRPr="00465332">
              <w:rPr>
                <w:color w:val="000000"/>
                <w:sz w:val="16"/>
                <w:szCs w:val="16"/>
              </w:rPr>
              <w:t>594,978</w:t>
            </w:r>
          </w:p>
        </w:tc>
        <w:tc>
          <w:tcPr>
            <w:tcW w:w="1440" w:type="dxa"/>
            <w:shd w:val="clear" w:color="auto" w:fill="auto"/>
            <w:noWrap/>
            <w:vAlign w:val="center"/>
            <w:hideMark/>
          </w:tcPr>
          <w:p w14:paraId="1F95E36D" w14:textId="77777777" w:rsidR="00C7746D" w:rsidRPr="00465332" w:rsidRDefault="00C7746D" w:rsidP="00D5629E">
            <w:pPr>
              <w:pStyle w:val="TableText"/>
              <w:rPr>
                <w:sz w:val="16"/>
                <w:szCs w:val="16"/>
              </w:rPr>
            </w:pPr>
            <w:r w:rsidRPr="00465332">
              <w:rPr>
                <w:sz w:val="16"/>
                <w:szCs w:val="16"/>
              </w:rPr>
              <w:t>53%</w:t>
            </w:r>
          </w:p>
        </w:tc>
      </w:tr>
      <w:tr w:rsidR="00C7746D" w:rsidRPr="00465332" w14:paraId="1BBB7C4F" w14:textId="77777777" w:rsidTr="00D114C8">
        <w:trPr>
          <w:trHeight w:val="20"/>
          <w:jc w:val="center"/>
        </w:trPr>
        <w:tc>
          <w:tcPr>
            <w:tcW w:w="1866" w:type="dxa"/>
            <w:shd w:val="clear" w:color="auto" w:fill="auto"/>
            <w:noWrap/>
            <w:vAlign w:val="bottom"/>
            <w:hideMark/>
          </w:tcPr>
          <w:p w14:paraId="1723DFF9" w14:textId="77777777" w:rsidR="00C7746D" w:rsidRPr="00D5629E" w:rsidRDefault="00C7746D" w:rsidP="00D5629E">
            <w:pPr>
              <w:pStyle w:val="TableTextL"/>
            </w:pPr>
            <w:r w:rsidRPr="00D5629E">
              <w:t>Plumas County</w:t>
            </w:r>
          </w:p>
        </w:tc>
        <w:tc>
          <w:tcPr>
            <w:tcW w:w="924" w:type="dxa"/>
            <w:shd w:val="clear" w:color="auto" w:fill="auto"/>
            <w:noWrap/>
            <w:vAlign w:val="center"/>
            <w:hideMark/>
          </w:tcPr>
          <w:p w14:paraId="56540DD3" w14:textId="77777777" w:rsidR="00C7746D" w:rsidRPr="00465332" w:rsidRDefault="00C7746D" w:rsidP="00D5629E">
            <w:pPr>
              <w:pStyle w:val="TableText"/>
              <w:rPr>
                <w:color w:val="000000"/>
                <w:sz w:val="16"/>
                <w:szCs w:val="16"/>
              </w:rPr>
            </w:pPr>
            <w:r w:rsidRPr="00465332">
              <w:rPr>
                <w:color w:val="000000"/>
                <w:sz w:val="16"/>
                <w:szCs w:val="16"/>
              </w:rPr>
              <w:t>19,773</w:t>
            </w:r>
          </w:p>
        </w:tc>
        <w:tc>
          <w:tcPr>
            <w:tcW w:w="1170" w:type="dxa"/>
            <w:shd w:val="clear" w:color="auto" w:fill="auto"/>
            <w:noWrap/>
            <w:vAlign w:val="center"/>
            <w:hideMark/>
          </w:tcPr>
          <w:p w14:paraId="71A34498" w14:textId="77777777" w:rsidR="00C7746D" w:rsidRPr="00465332" w:rsidRDefault="00C7746D" w:rsidP="00D5629E">
            <w:pPr>
              <w:pStyle w:val="TableText"/>
              <w:rPr>
                <w:color w:val="000000"/>
                <w:sz w:val="16"/>
                <w:szCs w:val="16"/>
              </w:rPr>
            </w:pPr>
            <w:r w:rsidRPr="00465332">
              <w:rPr>
                <w:color w:val="000000"/>
                <w:sz w:val="16"/>
                <w:szCs w:val="16"/>
              </w:rPr>
              <w:t>19,374</w:t>
            </w:r>
          </w:p>
        </w:tc>
        <w:tc>
          <w:tcPr>
            <w:tcW w:w="1170" w:type="dxa"/>
            <w:shd w:val="clear" w:color="auto" w:fill="auto"/>
            <w:noWrap/>
            <w:vAlign w:val="center"/>
            <w:hideMark/>
          </w:tcPr>
          <w:p w14:paraId="1F8B7F78" w14:textId="77777777" w:rsidR="00C7746D" w:rsidRPr="00465332" w:rsidRDefault="00C7746D" w:rsidP="00D5629E">
            <w:pPr>
              <w:pStyle w:val="TableText"/>
              <w:rPr>
                <w:color w:val="000000"/>
                <w:sz w:val="16"/>
                <w:szCs w:val="16"/>
              </w:rPr>
            </w:pPr>
            <w:r w:rsidRPr="00465332">
              <w:rPr>
                <w:color w:val="000000"/>
                <w:sz w:val="16"/>
                <w:szCs w:val="16"/>
              </w:rPr>
              <w:t>19,069</w:t>
            </w:r>
          </w:p>
        </w:tc>
        <w:tc>
          <w:tcPr>
            <w:tcW w:w="1170" w:type="dxa"/>
            <w:shd w:val="clear" w:color="auto" w:fill="auto"/>
            <w:noWrap/>
            <w:vAlign w:val="center"/>
            <w:hideMark/>
          </w:tcPr>
          <w:p w14:paraId="45A5E8FF" w14:textId="77777777" w:rsidR="00C7746D" w:rsidRPr="00465332" w:rsidRDefault="00C7746D" w:rsidP="00D5629E">
            <w:pPr>
              <w:pStyle w:val="TableText"/>
              <w:rPr>
                <w:color w:val="000000"/>
                <w:sz w:val="16"/>
                <w:szCs w:val="16"/>
              </w:rPr>
            </w:pPr>
            <w:r w:rsidRPr="00465332">
              <w:rPr>
                <w:color w:val="000000"/>
                <w:sz w:val="16"/>
                <w:szCs w:val="16"/>
              </w:rPr>
              <w:t>18,413</w:t>
            </w:r>
          </w:p>
        </w:tc>
        <w:tc>
          <w:tcPr>
            <w:tcW w:w="1170" w:type="dxa"/>
            <w:shd w:val="clear" w:color="auto" w:fill="auto"/>
            <w:noWrap/>
            <w:vAlign w:val="center"/>
            <w:hideMark/>
          </w:tcPr>
          <w:p w14:paraId="08E866A4" w14:textId="77777777" w:rsidR="00C7746D" w:rsidRPr="00465332" w:rsidRDefault="00C7746D" w:rsidP="00D5629E">
            <w:pPr>
              <w:pStyle w:val="TableText"/>
              <w:rPr>
                <w:color w:val="000000"/>
                <w:sz w:val="16"/>
                <w:szCs w:val="16"/>
              </w:rPr>
            </w:pPr>
            <w:r w:rsidRPr="00465332">
              <w:rPr>
                <w:color w:val="000000"/>
                <w:sz w:val="16"/>
                <w:szCs w:val="16"/>
              </w:rPr>
              <w:t>17,652</w:t>
            </w:r>
          </w:p>
        </w:tc>
        <w:tc>
          <w:tcPr>
            <w:tcW w:w="1170" w:type="dxa"/>
            <w:shd w:val="clear" w:color="auto" w:fill="auto"/>
            <w:noWrap/>
            <w:vAlign w:val="center"/>
            <w:hideMark/>
          </w:tcPr>
          <w:p w14:paraId="56B6598C" w14:textId="77777777" w:rsidR="00C7746D" w:rsidRPr="00465332" w:rsidRDefault="00C7746D" w:rsidP="00D5629E">
            <w:pPr>
              <w:pStyle w:val="TableText"/>
              <w:rPr>
                <w:color w:val="000000"/>
                <w:sz w:val="16"/>
                <w:szCs w:val="16"/>
              </w:rPr>
            </w:pPr>
            <w:r w:rsidRPr="00465332">
              <w:rPr>
                <w:color w:val="000000"/>
                <w:sz w:val="16"/>
                <w:szCs w:val="16"/>
              </w:rPr>
              <w:t>17,585</w:t>
            </w:r>
          </w:p>
        </w:tc>
        <w:tc>
          <w:tcPr>
            <w:tcW w:w="1440" w:type="dxa"/>
            <w:shd w:val="clear" w:color="auto" w:fill="auto"/>
            <w:noWrap/>
            <w:vAlign w:val="center"/>
            <w:hideMark/>
          </w:tcPr>
          <w:p w14:paraId="2C964400" w14:textId="77777777" w:rsidR="00C7746D" w:rsidRPr="00465332" w:rsidRDefault="00C7746D" w:rsidP="00D5629E">
            <w:pPr>
              <w:pStyle w:val="TableText"/>
              <w:rPr>
                <w:sz w:val="16"/>
                <w:szCs w:val="16"/>
              </w:rPr>
            </w:pPr>
            <w:r w:rsidRPr="00465332">
              <w:rPr>
                <w:sz w:val="16"/>
                <w:szCs w:val="16"/>
              </w:rPr>
              <w:t>-11%</w:t>
            </w:r>
          </w:p>
        </w:tc>
      </w:tr>
      <w:tr w:rsidR="00C7746D" w:rsidRPr="00465332" w14:paraId="7C6CE3E3" w14:textId="77777777" w:rsidTr="00D114C8">
        <w:trPr>
          <w:trHeight w:val="20"/>
          <w:jc w:val="center"/>
        </w:trPr>
        <w:tc>
          <w:tcPr>
            <w:tcW w:w="1866" w:type="dxa"/>
            <w:shd w:val="clear" w:color="auto" w:fill="auto"/>
            <w:noWrap/>
            <w:vAlign w:val="bottom"/>
            <w:hideMark/>
          </w:tcPr>
          <w:p w14:paraId="029CA10B" w14:textId="77777777" w:rsidR="00C7746D" w:rsidRPr="00D5629E" w:rsidRDefault="00C7746D" w:rsidP="00D5629E">
            <w:pPr>
              <w:pStyle w:val="TableTextL"/>
            </w:pPr>
            <w:r w:rsidRPr="00D5629E">
              <w:t>Riverside County</w:t>
            </w:r>
          </w:p>
        </w:tc>
        <w:tc>
          <w:tcPr>
            <w:tcW w:w="924" w:type="dxa"/>
            <w:shd w:val="clear" w:color="auto" w:fill="auto"/>
            <w:noWrap/>
            <w:vAlign w:val="center"/>
            <w:hideMark/>
          </w:tcPr>
          <w:p w14:paraId="4DDADB44" w14:textId="77777777" w:rsidR="00C7746D" w:rsidRPr="00465332" w:rsidRDefault="00C7746D" w:rsidP="00D5629E">
            <w:pPr>
              <w:pStyle w:val="TableText"/>
              <w:rPr>
                <w:color w:val="000000"/>
                <w:sz w:val="16"/>
                <w:szCs w:val="16"/>
              </w:rPr>
            </w:pPr>
            <w:r w:rsidRPr="00465332">
              <w:rPr>
                <w:color w:val="000000"/>
                <w:sz w:val="16"/>
                <w:szCs w:val="16"/>
              </w:rPr>
              <w:t>2,415,955</w:t>
            </w:r>
          </w:p>
        </w:tc>
        <w:tc>
          <w:tcPr>
            <w:tcW w:w="1170" w:type="dxa"/>
            <w:shd w:val="clear" w:color="auto" w:fill="auto"/>
            <w:noWrap/>
            <w:vAlign w:val="center"/>
            <w:hideMark/>
          </w:tcPr>
          <w:p w14:paraId="601AA95A" w14:textId="77777777" w:rsidR="00C7746D" w:rsidRPr="00465332" w:rsidRDefault="00C7746D" w:rsidP="00D5629E">
            <w:pPr>
              <w:pStyle w:val="TableText"/>
              <w:rPr>
                <w:color w:val="000000"/>
                <w:sz w:val="16"/>
                <w:szCs w:val="16"/>
              </w:rPr>
            </w:pPr>
            <w:r w:rsidRPr="00465332">
              <w:rPr>
                <w:color w:val="000000"/>
                <w:sz w:val="16"/>
                <w:szCs w:val="16"/>
              </w:rPr>
              <w:t>2,500,975</w:t>
            </w:r>
          </w:p>
        </w:tc>
        <w:tc>
          <w:tcPr>
            <w:tcW w:w="1170" w:type="dxa"/>
            <w:shd w:val="clear" w:color="auto" w:fill="auto"/>
            <w:noWrap/>
            <w:vAlign w:val="center"/>
            <w:hideMark/>
          </w:tcPr>
          <w:p w14:paraId="79DFD6E1" w14:textId="77777777" w:rsidR="00C7746D" w:rsidRPr="00465332" w:rsidRDefault="00C7746D" w:rsidP="00D5629E">
            <w:pPr>
              <w:pStyle w:val="TableText"/>
              <w:rPr>
                <w:color w:val="000000"/>
                <w:sz w:val="16"/>
                <w:szCs w:val="16"/>
              </w:rPr>
            </w:pPr>
            <w:r w:rsidRPr="00465332">
              <w:rPr>
                <w:color w:val="000000"/>
                <w:sz w:val="16"/>
                <w:szCs w:val="16"/>
              </w:rPr>
              <w:t>2,857,496</w:t>
            </w:r>
          </w:p>
        </w:tc>
        <w:tc>
          <w:tcPr>
            <w:tcW w:w="1170" w:type="dxa"/>
            <w:shd w:val="clear" w:color="auto" w:fill="auto"/>
            <w:noWrap/>
            <w:vAlign w:val="center"/>
            <w:hideMark/>
          </w:tcPr>
          <w:p w14:paraId="1B43793D" w14:textId="77777777" w:rsidR="00C7746D" w:rsidRPr="00465332" w:rsidRDefault="00C7746D" w:rsidP="00D5629E">
            <w:pPr>
              <w:pStyle w:val="TableText"/>
              <w:rPr>
                <w:color w:val="000000"/>
                <w:sz w:val="16"/>
                <w:szCs w:val="16"/>
              </w:rPr>
            </w:pPr>
            <w:r w:rsidRPr="00465332">
              <w:rPr>
                <w:color w:val="000000"/>
                <w:sz w:val="16"/>
                <w:szCs w:val="16"/>
              </w:rPr>
              <w:t>3,159,599</w:t>
            </w:r>
          </w:p>
        </w:tc>
        <w:tc>
          <w:tcPr>
            <w:tcW w:w="1170" w:type="dxa"/>
            <w:shd w:val="clear" w:color="auto" w:fill="auto"/>
            <w:noWrap/>
            <w:vAlign w:val="center"/>
            <w:hideMark/>
          </w:tcPr>
          <w:p w14:paraId="068EEA9C" w14:textId="77777777" w:rsidR="00C7746D" w:rsidRPr="00465332" w:rsidRDefault="00C7746D" w:rsidP="00D5629E">
            <w:pPr>
              <w:pStyle w:val="TableText"/>
              <w:rPr>
                <w:color w:val="000000"/>
                <w:sz w:val="16"/>
                <w:szCs w:val="16"/>
              </w:rPr>
            </w:pPr>
            <w:r w:rsidRPr="00465332">
              <w:rPr>
                <w:color w:val="000000"/>
                <w:sz w:val="16"/>
                <w:szCs w:val="16"/>
              </w:rPr>
              <w:t>3,400,372</w:t>
            </w:r>
          </w:p>
        </w:tc>
        <w:tc>
          <w:tcPr>
            <w:tcW w:w="1170" w:type="dxa"/>
            <w:shd w:val="clear" w:color="auto" w:fill="auto"/>
            <w:noWrap/>
            <w:vAlign w:val="center"/>
            <w:hideMark/>
          </w:tcPr>
          <w:p w14:paraId="33CB2728" w14:textId="77777777" w:rsidR="00C7746D" w:rsidRPr="00465332" w:rsidRDefault="00C7746D" w:rsidP="00D5629E">
            <w:pPr>
              <w:pStyle w:val="TableText"/>
              <w:rPr>
                <w:color w:val="000000"/>
                <w:sz w:val="16"/>
                <w:szCs w:val="16"/>
              </w:rPr>
            </w:pPr>
            <w:r w:rsidRPr="00465332">
              <w:rPr>
                <w:color w:val="000000"/>
                <w:sz w:val="16"/>
                <w:szCs w:val="16"/>
              </w:rPr>
              <w:t>3,596,588</w:t>
            </w:r>
          </w:p>
        </w:tc>
        <w:tc>
          <w:tcPr>
            <w:tcW w:w="1440" w:type="dxa"/>
            <w:shd w:val="clear" w:color="auto" w:fill="auto"/>
            <w:noWrap/>
            <w:vAlign w:val="center"/>
            <w:hideMark/>
          </w:tcPr>
          <w:p w14:paraId="13AA041F" w14:textId="77777777" w:rsidR="00C7746D" w:rsidRPr="00465332" w:rsidRDefault="00C7746D" w:rsidP="00D5629E">
            <w:pPr>
              <w:pStyle w:val="TableText"/>
              <w:rPr>
                <w:sz w:val="16"/>
                <w:szCs w:val="16"/>
              </w:rPr>
            </w:pPr>
            <w:r w:rsidRPr="00465332">
              <w:rPr>
                <w:sz w:val="16"/>
                <w:szCs w:val="16"/>
              </w:rPr>
              <w:t>49%</w:t>
            </w:r>
          </w:p>
        </w:tc>
      </w:tr>
      <w:tr w:rsidR="00C7746D" w:rsidRPr="00465332" w14:paraId="061FC0F2" w14:textId="77777777" w:rsidTr="00D114C8">
        <w:trPr>
          <w:trHeight w:val="20"/>
          <w:jc w:val="center"/>
        </w:trPr>
        <w:tc>
          <w:tcPr>
            <w:tcW w:w="1866" w:type="dxa"/>
            <w:shd w:val="clear" w:color="auto" w:fill="auto"/>
            <w:noWrap/>
            <w:vAlign w:val="bottom"/>
            <w:hideMark/>
          </w:tcPr>
          <w:p w14:paraId="786F785E" w14:textId="77777777" w:rsidR="00C7746D" w:rsidRPr="00D5629E" w:rsidRDefault="00C7746D" w:rsidP="00D5629E">
            <w:pPr>
              <w:pStyle w:val="TableTextL"/>
            </w:pPr>
            <w:r w:rsidRPr="00D5629E">
              <w:t>Sacramento County</w:t>
            </w:r>
          </w:p>
        </w:tc>
        <w:tc>
          <w:tcPr>
            <w:tcW w:w="924" w:type="dxa"/>
            <w:shd w:val="clear" w:color="auto" w:fill="auto"/>
            <w:noWrap/>
            <w:vAlign w:val="center"/>
            <w:hideMark/>
          </w:tcPr>
          <w:p w14:paraId="6769A68E" w14:textId="77777777" w:rsidR="00C7746D" w:rsidRPr="00465332" w:rsidRDefault="00C7746D" w:rsidP="00D5629E">
            <w:pPr>
              <w:pStyle w:val="TableText"/>
              <w:rPr>
                <w:color w:val="000000"/>
                <w:sz w:val="16"/>
                <w:szCs w:val="16"/>
              </w:rPr>
            </w:pPr>
            <w:r w:rsidRPr="00465332">
              <w:rPr>
                <w:color w:val="000000"/>
                <w:sz w:val="16"/>
                <w:szCs w:val="16"/>
              </w:rPr>
              <w:t>1,529,501</w:t>
            </w:r>
          </w:p>
        </w:tc>
        <w:tc>
          <w:tcPr>
            <w:tcW w:w="1170" w:type="dxa"/>
            <w:shd w:val="clear" w:color="auto" w:fill="auto"/>
            <w:noWrap/>
            <w:vAlign w:val="center"/>
            <w:hideMark/>
          </w:tcPr>
          <w:p w14:paraId="5B2791E4" w14:textId="77777777" w:rsidR="00C7746D" w:rsidRPr="00465332" w:rsidRDefault="00C7746D" w:rsidP="00D5629E">
            <w:pPr>
              <w:pStyle w:val="TableText"/>
              <w:rPr>
                <w:color w:val="000000"/>
                <w:sz w:val="16"/>
                <w:szCs w:val="16"/>
              </w:rPr>
            </w:pPr>
            <w:r w:rsidRPr="00465332">
              <w:rPr>
                <w:color w:val="000000"/>
                <w:sz w:val="16"/>
                <w:szCs w:val="16"/>
              </w:rPr>
              <w:t>1,572,886</w:t>
            </w:r>
          </w:p>
        </w:tc>
        <w:tc>
          <w:tcPr>
            <w:tcW w:w="1170" w:type="dxa"/>
            <w:shd w:val="clear" w:color="auto" w:fill="auto"/>
            <w:noWrap/>
            <w:vAlign w:val="center"/>
            <w:hideMark/>
          </w:tcPr>
          <w:p w14:paraId="1814BEC8" w14:textId="77777777" w:rsidR="00C7746D" w:rsidRPr="00465332" w:rsidRDefault="00C7746D" w:rsidP="00D5629E">
            <w:pPr>
              <w:pStyle w:val="TableText"/>
              <w:rPr>
                <w:color w:val="000000"/>
                <w:sz w:val="16"/>
                <w:szCs w:val="16"/>
              </w:rPr>
            </w:pPr>
            <w:r w:rsidRPr="00465332">
              <w:rPr>
                <w:color w:val="000000"/>
                <w:sz w:val="16"/>
                <w:szCs w:val="16"/>
              </w:rPr>
              <w:t>1,757,616</w:t>
            </w:r>
          </w:p>
        </w:tc>
        <w:tc>
          <w:tcPr>
            <w:tcW w:w="1170" w:type="dxa"/>
            <w:shd w:val="clear" w:color="auto" w:fill="auto"/>
            <w:noWrap/>
            <w:vAlign w:val="center"/>
            <w:hideMark/>
          </w:tcPr>
          <w:p w14:paraId="6EE7C829" w14:textId="77777777" w:rsidR="00C7746D" w:rsidRPr="00465332" w:rsidRDefault="00C7746D" w:rsidP="00D5629E">
            <w:pPr>
              <w:pStyle w:val="TableText"/>
              <w:rPr>
                <w:color w:val="000000"/>
                <w:sz w:val="16"/>
                <w:szCs w:val="16"/>
              </w:rPr>
            </w:pPr>
            <w:r w:rsidRPr="00465332">
              <w:rPr>
                <w:color w:val="000000"/>
                <w:sz w:val="16"/>
                <w:szCs w:val="16"/>
              </w:rPr>
              <w:t>1,936,861</w:t>
            </w:r>
          </w:p>
        </w:tc>
        <w:tc>
          <w:tcPr>
            <w:tcW w:w="1170" w:type="dxa"/>
            <w:shd w:val="clear" w:color="auto" w:fill="auto"/>
            <w:noWrap/>
            <w:vAlign w:val="center"/>
            <w:hideMark/>
          </w:tcPr>
          <w:p w14:paraId="4CF6AE00" w14:textId="77777777" w:rsidR="00C7746D" w:rsidRPr="00465332" w:rsidRDefault="00C7746D" w:rsidP="00D5629E">
            <w:pPr>
              <w:pStyle w:val="TableText"/>
              <w:rPr>
                <w:color w:val="000000"/>
                <w:sz w:val="16"/>
                <w:szCs w:val="16"/>
              </w:rPr>
            </w:pPr>
            <w:r w:rsidRPr="00465332">
              <w:rPr>
                <w:color w:val="000000"/>
                <w:sz w:val="16"/>
                <w:szCs w:val="16"/>
              </w:rPr>
              <w:t>2,100,156</w:t>
            </w:r>
          </w:p>
        </w:tc>
        <w:tc>
          <w:tcPr>
            <w:tcW w:w="1170" w:type="dxa"/>
            <w:shd w:val="clear" w:color="auto" w:fill="auto"/>
            <w:noWrap/>
            <w:vAlign w:val="center"/>
            <w:hideMark/>
          </w:tcPr>
          <w:p w14:paraId="2E7E1F6D" w14:textId="77777777" w:rsidR="00C7746D" w:rsidRPr="00465332" w:rsidRDefault="00C7746D" w:rsidP="00D5629E">
            <w:pPr>
              <w:pStyle w:val="TableText"/>
              <w:rPr>
                <w:color w:val="000000"/>
                <w:sz w:val="16"/>
                <w:szCs w:val="16"/>
              </w:rPr>
            </w:pPr>
            <w:r w:rsidRPr="00465332">
              <w:rPr>
                <w:color w:val="000000"/>
                <w:sz w:val="16"/>
                <w:szCs w:val="16"/>
              </w:rPr>
              <w:t>2,257,413</w:t>
            </w:r>
          </w:p>
        </w:tc>
        <w:tc>
          <w:tcPr>
            <w:tcW w:w="1440" w:type="dxa"/>
            <w:shd w:val="clear" w:color="auto" w:fill="auto"/>
            <w:noWrap/>
            <w:vAlign w:val="center"/>
            <w:hideMark/>
          </w:tcPr>
          <w:p w14:paraId="378861E1" w14:textId="77777777" w:rsidR="00C7746D" w:rsidRPr="00465332" w:rsidRDefault="00C7746D" w:rsidP="00D5629E">
            <w:pPr>
              <w:pStyle w:val="TableText"/>
              <w:rPr>
                <w:sz w:val="16"/>
                <w:szCs w:val="16"/>
              </w:rPr>
            </w:pPr>
            <w:r w:rsidRPr="00465332">
              <w:rPr>
                <w:sz w:val="16"/>
                <w:szCs w:val="16"/>
              </w:rPr>
              <w:t>48%</w:t>
            </w:r>
          </w:p>
        </w:tc>
      </w:tr>
      <w:tr w:rsidR="00C7746D" w:rsidRPr="00465332" w14:paraId="5366B46A" w14:textId="77777777" w:rsidTr="00D114C8">
        <w:trPr>
          <w:trHeight w:val="20"/>
          <w:jc w:val="center"/>
        </w:trPr>
        <w:tc>
          <w:tcPr>
            <w:tcW w:w="1866" w:type="dxa"/>
            <w:shd w:val="clear" w:color="auto" w:fill="auto"/>
            <w:noWrap/>
            <w:vAlign w:val="bottom"/>
            <w:hideMark/>
          </w:tcPr>
          <w:p w14:paraId="0B39ACFA" w14:textId="77777777" w:rsidR="00C7746D" w:rsidRPr="00D5629E" w:rsidRDefault="00C7746D" w:rsidP="00D5629E">
            <w:pPr>
              <w:pStyle w:val="TableTextL"/>
            </w:pPr>
            <w:r w:rsidRPr="00D5629E">
              <w:t>San Benito County</w:t>
            </w:r>
          </w:p>
        </w:tc>
        <w:tc>
          <w:tcPr>
            <w:tcW w:w="924" w:type="dxa"/>
            <w:shd w:val="clear" w:color="auto" w:fill="auto"/>
            <w:noWrap/>
            <w:vAlign w:val="center"/>
            <w:hideMark/>
          </w:tcPr>
          <w:p w14:paraId="3EADBAFA" w14:textId="77777777" w:rsidR="00C7746D" w:rsidRPr="00465332" w:rsidRDefault="00C7746D" w:rsidP="00D5629E">
            <w:pPr>
              <w:pStyle w:val="TableText"/>
              <w:rPr>
                <w:color w:val="000000"/>
                <w:sz w:val="16"/>
                <w:szCs w:val="16"/>
              </w:rPr>
            </w:pPr>
            <w:r w:rsidRPr="00465332">
              <w:rPr>
                <w:color w:val="000000"/>
                <w:sz w:val="16"/>
                <w:szCs w:val="16"/>
              </w:rPr>
              <w:t>57,088</w:t>
            </w:r>
          </w:p>
        </w:tc>
        <w:tc>
          <w:tcPr>
            <w:tcW w:w="1170" w:type="dxa"/>
            <w:shd w:val="clear" w:color="auto" w:fill="auto"/>
            <w:noWrap/>
            <w:vAlign w:val="center"/>
            <w:hideMark/>
          </w:tcPr>
          <w:p w14:paraId="29EADF97" w14:textId="77777777" w:rsidR="00C7746D" w:rsidRPr="00465332" w:rsidRDefault="00C7746D" w:rsidP="00D5629E">
            <w:pPr>
              <w:pStyle w:val="TableText"/>
              <w:rPr>
                <w:color w:val="000000"/>
                <w:sz w:val="16"/>
                <w:szCs w:val="16"/>
              </w:rPr>
            </w:pPr>
            <w:r w:rsidRPr="00465332">
              <w:rPr>
                <w:color w:val="000000"/>
                <w:sz w:val="16"/>
                <w:szCs w:val="16"/>
              </w:rPr>
              <w:t>60,067</w:t>
            </w:r>
          </w:p>
        </w:tc>
        <w:tc>
          <w:tcPr>
            <w:tcW w:w="1170" w:type="dxa"/>
            <w:shd w:val="clear" w:color="auto" w:fill="auto"/>
            <w:noWrap/>
            <w:vAlign w:val="center"/>
            <w:hideMark/>
          </w:tcPr>
          <w:p w14:paraId="3290645F" w14:textId="77777777" w:rsidR="00C7746D" w:rsidRPr="00465332" w:rsidRDefault="00C7746D" w:rsidP="00D5629E">
            <w:pPr>
              <w:pStyle w:val="TableText"/>
              <w:rPr>
                <w:color w:val="000000"/>
                <w:sz w:val="16"/>
                <w:szCs w:val="16"/>
              </w:rPr>
            </w:pPr>
            <w:r w:rsidRPr="00465332">
              <w:rPr>
                <w:color w:val="000000"/>
                <w:sz w:val="16"/>
                <w:szCs w:val="16"/>
              </w:rPr>
              <w:t>66,693</w:t>
            </w:r>
          </w:p>
        </w:tc>
        <w:tc>
          <w:tcPr>
            <w:tcW w:w="1170" w:type="dxa"/>
            <w:shd w:val="clear" w:color="auto" w:fill="auto"/>
            <w:noWrap/>
            <w:vAlign w:val="center"/>
            <w:hideMark/>
          </w:tcPr>
          <w:p w14:paraId="6867530C" w14:textId="77777777" w:rsidR="00C7746D" w:rsidRPr="00465332" w:rsidRDefault="00C7746D" w:rsidP="00D5629E">
            <w:pPr>
              <w:pStyle w:val="TableText"/>
              <w:rPr>
                <w:color w:val="000000"/>
                <w:sz w:val="16"/>
                <w:szCs w:val="16"/>
              </w:rPr>
            </w:pPr>
            <w:r w:rsidRPr="00465332">
              <w:rPr>
                <w:color w:val="000000"/>
                <w:sz w:val="16"/>
                <w:szCs w:val="16"/>
              </w:rPr>
              <w:t>73,432</w:t>
            </w:r>
          </w:p>
        </w:tc>
        <w:tc>
          <w:tcPr>
            <w:tcW w:w="1170" w:type="dxa"/>
            <w:shd w:val="clear" w:color="auto" w:fill="auto"/>
            <w:noWrap/>
            <w:vAlign w:val="center"/>
            <w:hideMark/>
          </w:tcPr>
          <w:p w14:paraId="5EE9D896" w14:textId="77777777" w:rsidR="00C7746D" w:rsidRPr="00465332" w:rsidRDefault="00C7746D" w:rsidP="00D5629E">
            <w:pPr>
              <w:pStyle w:val="TableText"/>
              <w:rPr>
                <w:color w:val="000000"/>
                <w:sz w:val="16"/>
                <w:szCs w:val="16"/>
              </w:rPr>
            </w:pPr>
            <w:r w:rsidRPr="00465332">
              <w:rPr>
                <w:color w:val="000000"/>
                <w:sz w:val="16"/>
                <w:szCs w:val="16"/>
              </w:rPr>
              <w:t>79,107</w:t>
            </w:r>
          </w:p>
        </w:tc>
        <w:tc>
          <w:tcPr>
            <w:tcW w:w="1170" w:type="dxa"/>
            <w:shd w:val="clear" w:color="auto" w:fill="auto"/>
            <w:noWrap/>
            <w:vAlign w:val="center"/>
            <w:hideMark/>
          </w:tcPr>
          <w:p w14:paraId="4C26DB8B" w14:textId="77777777" w:rsidR="00C7746D" w:rsidRPr="00465332" w:rsidRDefault="00C7746D" w:rsidP="00D5629E">
            <w:pPr>
              <w:pStyle w:val="TableText"/>
              <w:rPr>
                <w:color w:val="000000"/>
                <w:sz w:val="16"/>
                <w:szCs w:val="16"/>
              </w:rPr>
            </w:pPr>
            <w:r w:rsidRPr="00465332">
              <w:rPr>
                <w:color w:val="000000"/>
                <w:sz w:val="16"/>
                <w:szCs w:val="16"/>
              </w:rPr>
              <w:t>84,370</w:t>
            </w:r>
          </w:p>
        </w:tc>
        <w:tc>
          <w:tcPr>
            <w:tcW w:w="1440" w:type="dxa"/>
            <w:shd w:val="clear" w:color="auto" w:fill="auto"/>
            <w:noWrap/>
            <w:vAlign w:val="center"/>
            <w:hideMark/>
          </w:tcPr>
          <w:p w14:paraId="09C1304D" w14:textId="77777777" w:rsidR="00C7746D" w:rsidRPr="00465332" w:rsidRDefault="00C7746D" w:rsidP="00D5629E">
            <w:pPr>
              <w:pStyle w:val="TableText"/>
              <w:rPr>
                <w:sz w:val="16"/>
                <w:szCs w:val="16"/>
              </w:rPr>
            </w:pPr>
            <w:r w:rsidRPr="00465332">
              <w:rPr>
                <w:sz w:val="16"/>
                <w:szCs w:val="16"/>
              </w:rPr>
              <w:t>48%</w:t>
            </w:r>
          </w:p>
        </w:tc>
      </w:tr>
      <w:tr w:rsidR="00C7746D" w:rsidRPr="00465332" w14:paraId="0A47960C" w14:textId="77777777" w:rsidTr="00D114C8">
        <w:trPr>
          <w:trHeight w:val="20"/>
          <w:jc w:val="center"/>
        </w:trPr>
        <w:tc>
          <w:tcPr>
            <w:tcW w:w="1866" w:type="dxa"/>
            <w:shd w:val="clear" w:color="auto" w:fill="auto"/>
            <w:noWrap/>
            <w:vAlign w:val="bottom"/>
            <w:hideMark/>
          </w:tcPr>
          <w:p w14:paraId="26243A6C" w14:textId="77777777" w:rsidR="00C7746D" w:rsidRPr="00D5629E" w:rsidRDefault="00C7746D" w:rsidP="00D5629E">
            <w:pPr>
              <w:pStyle w:val="TableTextL"/>
            </w:pPr>
            <w:r w:rsidRPr="00D5629E">
              <w:t>San Bernardino County</w:t>
            </w:r>
          </w:p>
        </w:tc>
        <w:tc>
          <w:tcPr>
            <w:tcW w:w="924" w:type="dxa"/>
            <w:shd w:val="clear" w:color="auto" w:fill="auto"/>
            <w:noWrap/>
            <w:vAlign w:val="center"/>
            <w:hideMark/>
          </w:tcPr>
          <w:p w14:paraId="56E21AFF" w14:textId="77777777" w:rsidR="00C7746D" w:rsidRPr="00465332" w:rsidRDefault="00C7746D" w:rsidP="00D5629E">
            <w:pPr>
              <w:pStyle w:val="TableText"/>
              <w:rPr>
                <w:color w:val="000000"/>
                <w:sz w:val="16"/>
                <w:szCs w:val="16"/>
              </w:rPr>
            </w:pPr>
            <w:r w:rsidRPr="00465332">
              <w:rPr>
                <w:color w:val="000000"/>
                <w:sz w:val="16"/>
                <w:szCs w:val="16"/>
              </w:rPr>
              <w:t>2,174,938</w:t>
            </w:r>
          </w:p>
        </w:tc>
        <w:tc>
          <w:tcPr>
            <w:tcW w:w="1170" w:type="dxa"/>
            <w:shd w:val="clear" w:color="auto" w:fill="auto"/>
            <w:noWrap/>
            <w:vAlign w:val="center"/>
            <w:hideMark/>
          </w:tcPr>
          <w:p w14:paraId="3B3299B4" w14:textId="77777777" w:rsidR="00C7746D" w:rsidRPr="00465332" w:rsidRDefault="00C7746D" w:rsidP="00D5629E">
            <w:pPr>
              <w:pStyle w:val="TableText"/>
              <w:rPr>
                <w:color w:val="000000"/>
                <w:sz w:val="16"/>
                <w:szCs w:val="16"/>
              </w:rPr>
            </w:pPr>
            <w:r w:rsidRPr="00465332">
              <w:rPr>
                <w:color w:val="000000"/>
                <w:sz w:val="16"/>
                <w:szCs w:val="16"/>
              </w:rPr>
              <w:t>2,230,602</w:t>
            </w:r>
          </w:p>
        </w:tc>
        <w:tc>
          <w:tcPr>
            <w:tcW w:w="1170" w:type="dxa"/>
            <w:shd w:val="clear" w:color="auto" w:fill="auto"/>
            <w:noWrap/>
            <w:vAlign w:val="center"/>
            <w:hideMark/>
          </w:tcPr>
          <w:p w14:paraId="1F3F6BE7" w14:textId="77777777" w:rsidR="00C7746D" w:rsidRPr="00465332" w:rsidRDefault="00C7746D" w:rsidP="00D5629E">
            <w:pPr>
              <w:pStyle w:val="TableText"/>
              <w:rPr>
                <w:color w:val="000000"/>
                <w:sz w:val="16"/>
                <w:szCs w:val="16"/>
              </w:rPr>
            </w:pPr>
            <w:r w:rsidRPr="00465332">
              <w:rPr>
                <w:color w:val="000000"/>
                <w:sz w:val="16"/>
                <w:szCs w:val="16"/>
              </w:rPr>
              <w:t>2,478,888</w:t>
            </w:r>
          </w:p>
        </w:tc>
        <w:tc>
          <w:tcPr>
            <w:tcW w:w="1170" w:type="dxa"/>
            <w:shd w:val="clear" w:color="auto" w:fill="auto"/>
            <w:noWrap/>
            <w:vAlign w:val="center"/>
            <w:hideMark/>
          </w:tcPr>
          <w:p w14:paraId="5F1B4AC4" w14:textId="77777777" w:rsidR="00C7746D" w:rsidRPr="00465332" w:rsidRDefault="00C7746D" w:rsidP="00D5629E">
            <w:pPr>
              <w:pStyle w:val="TableText"/>
              <w:rPr>
                <w:color w:val="000000"/>
                <w:sz w:val="16"/>
                <w:szCs w:val="16"/>
              </w:rPr>
            </w:pPr>
            <w:r w:rsidRPr="00465332">
              <w:rPr>
                <w:color w:val="000000"/>
                <w:sz w:val="16"/>
                <w:szCs w:val="16"/>
              </w:rPr>
              <w:t>2,730,966</w:t>
            </w:r>
          </w:p>
        </w:tc>
        <w:tc>
          <w:tcPr>
            <w:tcW w:w="1170" w:type="dxa"/>
            <w:shd w:val="clear" w:color="auto" w:fill="auto"/>
            <w:noWrap/>
            <w:vAlign w:val="center"/>
            <w:hideMark/>
          </w:tcPr>
          <w:p w14:paraId="351036D7" w14:textId="77777777" w:rsidR="00C7746D" w:rsidRPr="00465332" w:rsidRDefault="00C7746D" w:rsidP="00D5629E">
            <w:pPr>
              <w:pStyle w:val="TableText"/>
              <w:rPr>
                <w:color w:val="000000"/>
                <w:sz w:val="16"/>
                <w:szCs w:val="16"/>
              </w:rPr>
            </w:pPr>
            <w:r w:rsidRPr="00465332">
              <w:rPr>
                <w:color w:val="000000"/>
                <w:sz w:val="16"/>
                <w:szCs w:val="16"/>
              </w:rPr>
              <w:t>2,976,804</w:t>
            </w:r>
          </w:p>
        </w:tc>
        <w:tc>
          <w:tcPr>
            <w:tcW w:w="1170" w:type="dxa"/>
            <w:shd w:val="clear" w:color="auto" w:fill="auto"/>
            <w:noWrap/>
            <w:vAlign w:val="center"/>
            <w:hideMark/>
          </w:tcPr>
          <w:p w14:paraId="4A14B6B0" w14:textId="77777777" w:rsidR="00C7746D" w:rsidRPr="00465332" w:rsidRDefault="00C7746D" w:rsidP="00D5629E">
            <w:pPr>
              <w:pStyle w:val="TableText"/>
              <w:rPr>
                <w:color w:val="000000"/>
                <w:sz w:val="16"/>
                <w:szCs w:val="16"/>
              </w:rPr>
            </w:pPr>
            <w:r w:rsidRPr="00465332">
              <w:rPr>
                <w:color w:val="000000"/>
                <w:sz w:val="16"/>
                <w:szCs w:val="16"/>
              </w:rPr>
              <w:t>3,232,412</w:t>
            </w:r>
          </w:p>
        </w:tc>
        <w:tc>
          <w:tcPr>
            <w:tcW w:w="1440" w:type="dxa"/>
            <w:shd w:val="clear" w:color="auto" w:fill="auto"/>
            <w:noWrap/>
            <w:vAlign w:val="center"/>
            <w:hideMark/>
          </w:tcPr>
          <w:p w14:paraId="17B15CF3" w14:textId="77777777" w:rsidR="00C7746D" w:rsidRPr="00465332" w:rsidRDefault="00C7746D" w:rsidP="00D5629E">
            <w:pPr>
              <w:pStyle w:val="TableText"/>
              <w:rPr>
                <w:sz w:val="16"/>
                <w:szCs w:val="16"/>
              </w:rPr>
            </w:pPr>
            <w:r w:rsidRPr="00465332">
              <w:rPr>
                <w:sz w:val="16"/>
                <w:szCs w:val="16"/>
              </w:rPr>
              <w:t>49%</w:t>
            </w:r>
          </w:p>
        </w:tc>
      </w:tr>
      <w:tr w:rsidR="00C7746D" w:rsidRPr="00465332" w14:paraId="55C5EE09" w14:textId="77777777" w:rsidTr="00D114C8">
        <w:trPr>
          <w:trHeight w:val="20"/>
          <w:jc w:val="center"/>
        </w:trPr>
        <w:tc>
          <w:tcPr>
            <w:tcW w:w="1866" w:type="dxa"/>
            <w:shd w:val="clear" w:color="auto" w:fill="auto"/>
            <w:noWrap/>
            <w:vAlign w:val="bottom"/>
            <w:hideMark/>
          </w:tcPr>
          <w:p w14:paraId="7753ED93" w14:textId="77777777" w:rsidR="00C7746D" w:rsidRPr="00D5629E" w:rsidRDefault="00C7746D" w:rsidP="00D5629E">
            <w:pPr>
              <w:pStyle w:val="TableTextL"/>
            </w:pPr>
            <w:r w:rsidRPr="00D5629E">
              <w:t>San Diego County</w:t>
            </w:r>
          </w:p>
        </w:tc>
        <w:tc>
          <w:tcPr>
            <w:tcW w:w="924" w:type="dxa"/>
            <w:shd w:val="clear" w:color="auto" w:fill="auto"/>
            <w:noWrap/>
            <w:vAlign w:val="center"/>
            <w:hideMark/>
          </w:tcPr>
          <w:p w14:paraId="69CE087A" w14:textId="77777777" w:rsidR="00C7746D" w:rsidRPr="00465332" w:rsidRDefault="00C7746D" w:rsidP="00D5629E">
            <w:pPr>
              <w:pStyle w:val="TableText"/>
              <w:rPr>
                <w:color w:val="000000"/>
                <w:sz w:val="16"/>
                <w:szCs w:val="16"/>
              </w:rPr>
            </w:pPr>
            <w:r w:rsidRPr="00465332">
              <w:rPr>
                <w:color w:val="000000"/>
                <w:sz w:val="16"/>
                <w:szCs w:val="16"/>
              </w:rPr>
              <w:t>3,337,456</w:t>
            </w:r>
          </w:p>
        </w:tc>
        <w:tc>
          <w:tcPr>
            <w:tcW w:w="1170" w:type="dxa"/>
            <w:shd w:val="clear" w:color="auto" w:fill="auto"/>
            <w:noWrap/>
            <w:vAlign w:val="center"/>
            <w:hideMark/>
          </w:tcPr>
          <w:p w14:paraId="202815B3" w14:textId="77777777" w:rsidR="00C7746D" w:rsidRPr="00465332" w:rsidRDefault="00C7746D" w:rsidP="00D5629E">
            <w:pPr>
              <w:pStyle w:val="TableText"/>
              <w:rPr>
                <w:color w:val="000000"/>
                <w:sz w:val="16"/>
                <w:szCs w:val="16"/>
              </w:rPr>
            </w:pPr>
            <w:r w:rsidRPr="00465332">
              <w:rPr>
                <w:color w:val="000000"/>
                <w:sz w:val="16"/>
                <w:szCs w:val="16"/>
              </w:rPr>
              <w:t>3,398,672</w:t>
            </w:r>
          </w:p>
        </w:tc>
        <w:tc>
          <w:tcPr>
            <w:tcW w:w="1170" w:type="dxa"/>
            <w:shd w:val="clear" w:color="auto" w:fill="auto"/>
            <w:noWrap/>
            <w:vAlign w:val="center"/>
            <w:hideMark/>
          </w:tcPr>
          <w:p w14:paraId="3CD544A7" w14:textId="77777777" w:rsidR="00C7746D" w:rsidRPr="00465332" w:rsidRDefault="00C7746D" w:rsidP="00D5629E">
            <w:pPr>
              <w:pStyle w:val="TableText"/>
              <w:rPr>
                <w:color w:val="000000"/>
                <w:sz w:val="16"/>
                <w:szCs w:val="16"/>
              </w:rPr>
            </w:pPr>
            <w:r w:rsidRPr="00465332">
              <w:rPr>
                <w:color w:val="000000"/>
                <w:sz w:val="16"/>
                <w:szCs w:val="16"/>
              </w:rPr>
              <w:t>3,631,155</w:t>
            </w:r>
          </w:p>
        </w:tc>
        <w:tc>
          <w:tcPr>
            <w:tcW w:w="1170" w:type="dxa"/>
            <w:shd w:val="clear" w:color="auto" w:fill="auto"/>
            <w:noWrap/>
            <w:vAlign w:val="center"/>
            <w:hideMark/>
          </w:tcPr>
          <w:p w14:paraId="5CB77F3A" w14:textId="77777777" w:rsidR="00C7746D" w:rsidRPr="00465332" w:rsidRDefault="00C7746D" w:rsidP="00D5629E">
            <w:pPr>
              <w:pStyle w:val="TableText"/>
              <w:rPr>
                <w:color w:val="000000"/>
                <w:sz w:val="16"/>
                <w:szCs w:val="16"/>
              </w:rPr>
            </w:pPr>
            <w:r w:rsidRPr="00465332">
              <w:rPr>
                <w:color w:val="000000"/>
                <w:sz w:val="16"/>
                <w:szCs w:val="16"/>
              </w:rPr>
              <w:t>3,822,756</w:t>
            </w:r>
          </w:p>
        </w:tc>
        <w:tc>
          <w:tcPr>
            <w:tcW w:w="1170" w:type="dxa"/>
            <w:shd w:val="clear" w:color="auto" w:fill="auto"/>
            <w:noWrap/>
            <w:vAlign w:val="center"/>
            <w:hideMark/>
          </w:tcPr>
          <w:p w14:paraId="0698B5A1" w14:textId="77777777" w:rsidR="00C7746D" w:rsidRPr="00465332" w:rsidRDefault="00C7746D" w:rsidP="00D5629E">
            <w:pPr>
              <w:pStyle w:val="TableText"/>
              <w:rPr>
                <w:color w:val="000000"/>
                <w:sz w:val="16"/>
                <w:szCs w:val="16"/>
              </w:rPr>
            </w:pPr>
            <w:r w:rsidRPr="00465332">
              <w:rPr>
                <w:color w:val="000000"/>
                <w:sz w:val="16"/>
                <w:szCs w:val="16"/>
              </w:rPr>
              <w:t>3,989,654</w:t>
            </w:r>
          </w:p>
        </w:tc>
        <w:tc>
          <w:tcPr>
            <w:tcW w:w="1170" w:type="dxa"/>
            <w:shd w:val="clear" w:color="auto" w:fill="auto"/>
            <w:noWrap/>
            <w:vAlign w:val="center"/>
            <w:hideMark/>
          </w:tcPr>
          <w:p w14:paraId="2B7CA7FF" w14:textId="77777777" w:rsidR="00C7746D" w:rsidRPr="00465332" w:rsidRDefault="00C7746D" w:rsidP="00D5629E">
            <w:pPr>
              <w:pStyle w:val="TableText"/>
              <w:rPr>
                <w:color w:val="000000"/>
                <w:sz w:val="16"/>
                <w:szCs w:val="16"/>
              </w:rPr>
            </w:pPr>
            <w:r w:rsidRPr="00465332">
              <w:rPr>
                <w:color w:val="000000"/>
                <w:sz w:val="16"/>
                <w:szCs w:val="16"/>
              </w:rPr>
              <w:t>4,129,358</w:t>
            </w:r>
          </w:p>
        </w:tc>
        <w:tc>
          <w:tcPr>
            <w:tcW w:w="1440" w:type="dxa"/>
            <w:shd w:val="clear" w:color="auto" w:fill="auto"/>
            <w:noWrap/>
            <w:vAlign w:val="center"/>
            <w:hideMark/>
          </w:tcPr>
          <w:p w14:paraId="6845B88D" w14:textId="77777777" w:rsidR="00C7746D" w:rsidRPr="00465332" w:rsidRDefault="00C7746D" w:rsidP="00D5629E">
            <w:pPr>
              <w:pStyle w:val="TableText"/>
              <w:rPr>
                <w:sz w:val="16"/>
                <w:szCs w:val="16"/>
              </w:rPr>
            </w:pPr>
            <w:r w:rsidRPr="00465332">
              <w:rPr>
                <w:sz w:val="16"/>
                <w:szCs w:val="16"/>
              </w:rPr>
              <w:t>24%</w:t>
            </w:r>
          </w:p>
        </w:tc>
      </w:tr>
      <w:tr w:rsidR="00C7746D" w:rsidRPr="00465332" w14:paraId="66680F0A" w14:textId="77777777" w:rsidTr="00D114C8">
        <w:trPr>
          <w:trHeight w:val="20"/>
          <w:jc w:val="center"/>
        </w:trPr>
        <w:tc>
          <w:tcPr>
            <w:tcW w:w="1866" w:type="dxa"/>
            <w:tcBorders>
              <w:bottom w:val="single" w:sz="4" w:space="0" w:color="auto"/>
            </w:tcBorders>
            <w:shd w:val="clear" w:color="auto" w:fill="auto"/>
            <w:noWrap/>
            <w:vAlign w:val="bottom"/>
            <w:hideMark/>
          </w:tcPr>
          <w:p w14:paraId="2549AFEE" w14:textId="77777777" w:rsidR="00C7746D" w:rsidRPr="00D5629E" w:rsidRDefault="00C7746D" w:rsidP="00D5629E">
            <w:pPr>
              <w:pStyle w:val="TableTextL"/>
            </w:pPr>
            <w:r w:rsidRPr="00D5629E">
              <w:lastRenderedPageBreak/>
              <w:t>San Joaquin County</w:t>
            </w:r>
          </w:p>
        </w:tc>
        <w:tc>
          <w:tcPr>
            <w:tcW w:w="924" w:type="dxa"/>
            <w:tcBorders>
              <w:bottom w:val="single" w:sz="4" w:space="0" w:color="auto"/>
            </w:tcBorders>
            <w:shd w:val="clear" w:color="auto" w:fill="auto"/>
            <w:noWrap/>
            <w:vAlign w:val="center"/>
            <w:hideMark/>
          </w:tcPr>
          <w:p w14:paraId="16EEFD14" w14:textId="77777777" w:rsidR="00C7746D" w:rsidRPr="00465332" w:rsidRDefault="00C7746D" w:rsidP="00D5629E">
            <w:pPr>
              <w:pStyle w:val="TableText"/>
              <w:rPr>
                <w:color w:val="000000"/>
                <w:sz w:val="16"/>
                <w:szCs w:val="16"/>
              </w:rPr>
            </w:pPr>
            <w:r w:rsidRPr="00465332">
              <w:rPr>
                <w:color w:val="000000"/>
                <w:sz w:val="16"/>
                <w:szCs w:val="16"/>
              </w:rPr>
              <w:t>758,744</w:t>
            </w:r>
          </w:p>
        </w:tc>
        <w:tc>
          <w:tcPr>
            <w:tcW w:w="1170" w:type="dxa"/>
            <w:tcBorders>
              <w:bottom w:val="single" w:sz="4" w:space="0" w:color="auto"/>
            </w:tcBorders>
            <w:shd w:val="clear" w:color="auto" w:fill="auto"/>
            <w:noWrap/>
            <w:vAlign w:val="center"/>
            <w:hideMark/>
          </w:tcPr>
          <w:p w14:paraId="696FA3E8" w14:textId="77777777" w:rsidR="00C7746D" w:rsidRPr="00465332" w:rsidRDefault="00C7746D" w:rsidP="00D5629E">
            <w:pPr>
              <w:pStyle w:val="TableText"/>
              <w:rPr>
                <w:color w:val="000000"/>
                <w:sz w:val="16"/>
                <w:szCs w:val="16"/>
              </w:rPr>
            </w:pPr>
            <w:r w:rsidRPr="00465332">
              <w:rPr>
                <w:color w:val="000000"/>
                <w:sz w:val="16"/>
                <w:szCs w:val="16"/>
              </w:rPr>
              <w:t>782,662</w:t>
            </w:r>
          </w:p>
        </w:tc>
        <w:tc>
          <w:tcPr>
            <w:tcW w:w="1170" w:type="dxa"/>
            <w:tcBorders>
              <w:bottom w:val="single" w:sz="4" w:space="0" w:color="auto"/>
            </w:tcBorders>
            <w:shd w:val="clear" w:color="auto" w:fill="auto"/>
            <w:noWrap/>
            <w:vAlign w:val="center"/>
            <w:hideMark/>
          </w:tcPr>
          <w:p w14:paraId="7AEFEB98" w14:textId="77777777" w:rsidR="00C7746D" w:rsidRPr="00465332" w:rsidRDefault="00C7746D" w:rsidP="00D5629E">
            <w:pPr>
              <w:pStyle w:val="TableText"/>
              <w:rPr>
                <w:color w:val="000000"/>
                <w:sz w:val="16"/>
                <w:szCs w:val="16"/>
              </w:rPr>
            </w:pPr>
            <w:r w:rsidRPr="00465332">
              <w:rPr>
                <w:color w:val="000000"/>
                <w:sz w:val="16"/>
                <w:szCs w:val="16"/>
              </w:rPr>
              <w:t>894,330</w:t>
            </w:r>
          </w:p>
        </w:tc>
        <w:tc>
          <w:tcPr>
            <w:tcW w:w="1170" w:type="dxa"/>
            <w:tcBorders>
              <w:bottom w:val="single" w:sz="4" w:space="0" w:color="auto"/>
            </w:tcBorders>
            <w:shd w:val="clear" w:color="auto" w:fill="auto"/>
            <w:noWrap/>
            <w:vAlign w:val="center"/>
            <w:hideMark/>
          </w:tcPr>
          <w:p w14:paraId="612E3122" w14:textId="77777777" w:rsidR="00C7746D" w:rsidRPr="00465332" w:rsidRDefault="00C7746D" w:rsidP="00D5629E">
            <w:pPr>
              <w:pStyle w:val="TableText"/>
              <w:rPr>
                <w:color w:val="000000"/>
                <w:sz w:val="16"/>
                <w:szCs w:val="16"/>
              </w:rPr>
            </w:pPr>
            <w:r w:rsidRPr="00465332">
              <w:rPr>
                <w:color w:val="000000"/>
                <w:sz w:val="16"/>
                <w:szCs w:val="16"/>
              </w:rPr>
              <w:t>995,469</w:t>
            </w:r>
          </w:p>
        </w:tc>
        <w:tc>
          <w:tcPr>
            <w:tcW w:w="1170" w:type="dxa"/>
            <w:tcBorders>
              <w:bottom w:val="single" w:sz="4" w:space="0" w:color="auto"/>
            </w:tcBorders>
            <w:shd w:val="clear" w:color="auto" w:fill="auto"/>
            <w:noWrap/>
            <w:vAlign w:val="center"/>
            <w:hideMark/>
          </w:tcPr>
          <w:p w14:paraId="441FDC90" w14:textId="77777777" w:rsidR="00C7746D" w:rsidRPr="00465332" w:rsidRDefault="00C7746D" w:rsidP="00D5629E">
            <w:pPr>
              <w:pStyle w:val="TableText"/>
              <w:rPr>
                <w:color w:val="000000"/>
                <w:sz w:val="16"/>
                <w:szCs w:val="16"/>
              </w:rPr>
            </w:pPr>
            <w:r w:rsidRPr="00465332">
              <w:rPr>
                <w:color w:val="000000"/>
                <w:sz w:val="16"/>
                <w:szCs w:val="16"/>
              </w:rPr>
              <w:t>1,078,992</w:t>
            </w:r>
          </w:p>
        </w:tc>
        <w:tc>
          <w:tcPr>
            <w:tcW w:w="1170" w:type="dxa"/>
            <w:tcBorders>
              <w:bottom w:val="single" w:sz="4" w:space="0" w:color="auto"/>
            </w:tcBorders>
            <w:shd w:val="clear" w:color="auto" w:fill="auto"/>
            <w:noWrap/>
            <w:vAlign w:val="center"/>
            <w:hideMark/>
          </w:tcPr>
          <w:p w14:paraId="155D59C8" w14:textId="77777777" w:rsidR="00C7746D" w:rsidRPr="00465332" w:rsidRDefault="00C7746D" w:rsidP="00D5629E">
            <w:pPr>
              <w:pStyle w:val="TableText"/>
              <w:rPr>
                <w:color w:val="000000"/>
                <w:sz w:val="16"/>
                <w:szCs w:val="16"/>
              </w:rPr>
            </w:pPr>
            <w:r w:rsidRPr="00465332">
              <w:rPr>
                <w:color w:val="000000"/>
                <w:sz w:val="16"/>
                <w:szCs w:val="16"/>
              </w:rPr>
              <w:t>1,149,124</w:t>
            </w:r>
          </w:p>
        </w:tc>
        <w:tc>
          <w:tcPr>
            <w:tcW w:w="1440" w:type="dxa"/>
            <w:tcBorders>
              <w:bottom w:val="single" w:sz="4" w:space="0" w:color="auto"/>
            </w:tcBorders>
            <w:shd w:val="clear" w:color="auto" w:fill="auto"/>
            <w:noWrap/>
            <w:vAlign w:val="center"/>
            <w:hideMark/>
          </w:tcPr>
          <w:p w14:paraId="3949FC7D" w14:textId="77777777" w:rsidR="00C7746D" w:rsidRPr="00465332" w:rsidRDefault="00C7746D" w:rsidP="00D5629E">
            <w:pPr>
              <w:pStyle w:val="TableText"/>
              <w:rPr>
                <w:sz w:val="16"/>
                <w:szCs w:val="16"/>
              </w:rPr>
            </w:pPr>
            <w:r w:rsidRPr="00465332">
              <w:rPr>
                <w:sz w:val="16"/>
                <w:szCs w:val="16"/>
              </w:rPr>
              <w:t>51%</w:t>
            </w:r>
          </w:p>
        </w:tc>
      </w:tr>
      <w:tr w:rsidR="00C7746D" w:rsidRPr="00465332" w14:paraId="5A6C454C" w14:textId="77777777" w:rsidTr="00D114C8">
        <w:trPr>
          <w:trHeight w:val="20"/>
          <w:jc w:val="center"/>
        </w:trPr>
        <w:tc>
          <w:tcPr>
            <w:tcW w:w="1866" w:type="dxa"/>
            <w:tcBorders>
              <w:top w:val="single" w:sz="4" w:space="0" w:color="auto"/>
              <w:bottom w:val="single" w:sz="4" w:space="0" w:color="auto"/>
            </w:tcBorders>
            <w:shd w:val="clear" w:color="auto" w:fill="auto"/>
            <w:noWrap/>
            <w:vAlign w:val="bottom"/>
            <w:hideMark/>
          </w:tcPr>
          <w:p w14:paraId="4115E559" w14:textId="77777777" w:rsidR="00C7746D" w:rsidRPr="00D5629E" w:rsidRDefault="00C7746D" w:rsidP="00D5629E">
            <w:pPr>
              <w:pStyle w:val="TableTextL"/>
            </w:pPr>
            <w:r w:rsidRPr="00D5629E">
              <w:t>San Luis Obispo County</w:t>
            </w:r>
          </w:p>
        </w:tc>
        <w:tc>
          <w:tcPr>
            <w:tcW w:w="924" w:type="dxa"/>
            <w:tcBorders>
              <w:top w:val="single" w:sz="4" w:space="0" w:color="auto"/>
              <w:bottom w:val="single" w:sz="4" w:space="0" w:color="auto"/>
            </w:tcBorders>
            <w:shd w:val="clear" w:color="auto" w:fill="auto"/>
            <w:noWrap/>
            <w:vAlign w:val="center"/>
            <w:hideMark/>
          </w:tcPr>
          <w:p w14:paraId="000C64B2" w14:textId="77777777" w:rsidR="00C7746D" w:rsidRPr="00465332" w:rsidRDefault="00C7746D" w:rsidP="00D5629E">
            <w:pPr>
              <w:pStyle w:val="TableText"/>
              <w:rPr>
                <w:color w:val="000000"/>
                <w:sz w:val="16"/>
                <w:szCs w:val="16"/>
              </w:rPr>
            </w:pPr>
            <w:r w:rsidRPr="00465332">
              <w:rPr>
                <w:color w:val="000000"/>
                <w:sz w:val="16"/>
                <w:szCs w:val="16"/>
              </w:rPr>
              <w:t>280,101</w:t>
            </w:r>
          </w:p>
        </w:tc>
        <w:tc>
          <w:tcPr>
            <w:tcW w:w="1170" w:type="dxa"/>
            <w:tcBorders>
              <w:top w:val="single" w:sz="4" w:space="0" w:color="auto"/>
              <w:bottom w:val="single" w:sz="4" w:space="0" w:color="auto"/>
            </w:tcBorders>
            <w:shd w:val="clear" w:color="auto" w:fill="auto"/>
            <w:noWrap/>
            <w:vAlign w:val="center"/>
            <w:hideMark/>
          </w:tcPr>
          <w:p w14:paraId="767FC093" w14:textId="77777777" w:rsidR="00C7746D" w:rsidRPr="00465332" w:rsidRDefault="00C7746D" w:rsidP="00D5629E">
            <w:pPr>
              <w:pStyle w:val="TableText"/>
              <w:rPr>
                <w:color w:val="000000"/>
                <w:sz w:val="16"/>
                <w:szCs w:val="16"/>
              </w:rPr>
            </w:pPr>
            <w:r w:rsidRPr="00465332">
              <w:rPr>
                <w:color w:val="000000"/>
                <w:sz w:val="16"/>
                <w:szCs w:val="16"/>
              </w:rPr>
              <w:t>284,126</w:t>
            </w:r>
          </w:p>
        </w:tc>
        <w:tc>
          <w:tcPr>
            <w:tcW w:w="1170" w:type="dxa"/>
            <w:tcBorders>
              <w:top w:val="single" w:sz="4" w:space="0" w:color="auto"/>
              <w:bottom w:val="single" w:sz="4" w:space="0" w:color="auto"/>
            </w:tcBorders>
            <w:shd w:val="clear" w:color="auto" w:fill="auto"/>
            <w:noWrap/>
            <w:vAlign w:val="center"/>
            <w:hideMark/>
          </w:tcPr>
          <w:p w14:paraId="1E0BC549" w14:textId="77777777" w:rsidR="00C7746D" w:rsidRPr="00465332" w:rsidRDefault="00C7746D" w:rsidP="00D5629E">
            <w:pPr>
              <w:pStyle w:val="TableText"/>
              <w:rPr>
                <w:color w:val="000000"/>
                <w:sz w:val="16"/>
                <w:szCs w:val="16"/>
              </w:rPr>
            </w:pPr>
            <w:r w:rsidRPr="00465332">
              <w:rPr>
                <w:color w:val="000000"/>
                <w:sz w:val="16"/>
                <w:szCs w:val="16"/>
              </w:rPr>
              <w:t>300,033</w:t>
            </w:r>
          </w:p>
        </w:tc>
        <w:tc>
          <w:tcPr>
            <w:tcW w:w="1170" w:type="dxa"/>
            <w:tcBorders>
              <w:top w:val="single" w:sz="4" w:space="0" w:color="auto"/>
              <w:bottom w:val="single" w:sz="4" w:space="0" w:color="auto"/>
            </w:tcBorders>
            <w:shd w:val="clear" w:color="auto" w:fill="auto"/>
            <w:noWrap/>
            <w:vAlign w:val="center"/>
            <w:hideMark/>
          </w:tcPr>
          <w:p w14:paraId="449C48C7" w14:textId="77777777" w:rsidR="00C7746D" w:rsidRPr="00465332" w:rsidRDefault="00C7746D" w:rsidP="00D5629E">
            <w:pPr>
              <w:pStyle w:val="TableText"/>
              <w:rPr>
                <w:color w:val="000000"/>
                <w:sz w:val="16"/>
                <w:szCs w:val="16"/>
              </w:rPr>
            </w:pPr>
            <w:r w:rsidRPr="00465332">
              <w:rPr>
                <w:color w:val="000000"/>
                <w:sz w:val="16"/>
                <w:szCs w:val="16"/>
              </w:rPr>
              <w:t>308,077</w:t>
            </w:r>
          </w:p>
        </w:tc>
        <w:tc>
          <w:tcPr>
            <w:tcW w:w="1170" w:type="dxa"/>
            <w:tcBorders>
              <w:top w:val="single" w:sz="4" w:space="0" w:color="auto"/>
              <w:bottom w:val="single" w:sz="4" w:space="0" w:color="auto"/>
            </w:tcBorders>
            <w:shd w:val="clear" w:color="auto" w:fill="auto"/>
            <w:noWrap/>
            <w:vAlign w:val="center"/>
            <w:hideMark/>
          </w:tcPr>
          <w:p w14:paraId="3AA0CA2B" w14:textId="77777777" w:rsidR="00C7746D" w:rsidRPr="00465332" w:rsidRDefault="00C7746D" w:rsidP="00D5629E">
            <w:pPr>
              <w:pStyle w:val="TableText"/>
              <w:rPr>
                <w:color w:val="000000"/>
                <w:sz w:val="16"/>
                <w:szCs w:val="16"/>
              </w:rPr>
            </w:pPr>
            <w:r w:rsidRPr="00465332">
              <w:rPr>
                <w:color w:val="000000"/>
                <w:sz w:val="16"/>
                <w:szCs w:val="16"/>
              </w:rPr>
              <w:t>307,134</w:t>
            </w:r>
          </w:p>
        </w:tc>
        <w:tc>
          <w:tcPr>
            <w:tcW w:w="1170" w:type="dxa"/>
            <w:tcBorders>
              <w:top w:val="single" w:sz="4" w:space="0" w:color="auto"/>
              <w:bottom w:val="single" w:sz="4" w:space="0" w:color="auto"/>
            </w:tcBorders>
            <w:shd w:val="clear" w:color="auto" w:fill="auto"/>
            <w:noWrap/>
            <w:vAlign w:val="center"/>
            <w:hideMark/>
          </w:tcPr>
          <w:p w14:paraId="45789F39" w14:textId="77777777" w:rsidR="00C7746D" w:rsidRPr="00465332" w:rsidRDefault="00C7746D" w:rsidP="00D5629E">
            <w:pPr>
              <w:pStyle w:val="TableText"/>
              <w:rPr>
                <w:color w:val="000000"/>
                <w:sz w:val="16"/>
                <w:szCs w:val="16"/>
              </w:rPr>
            </w:pPr>
            <w:r w:rsidRPr="00465332">
              <w:rPr>
                <w:color w:val="000000"/>
                <w:sz w:val="16"/>
                <w:szCs w:val="16"/>
              </w:rPr>
              <w:t>305,391</w:t>
            </w:r>
          </w:p>
        </w:tc>
        <w:tc>
          <w:tcPr>
            <w:tcW w:w="1440" w:type="dxa"/>
            <w:tcBorders>
              <w:top w:val="single" w:sz="4" w:space="0" w:color="auto"/>
              <w:bottom w:val="single" w:sz="4" w:space="0" w:color="auto"/>
            </w:tcBorders>
            <w:shd w:val="clear" w:color="auto" w:fill="auto"/>
            <w:noWrap/>
            <w:vAlign w:val="center"/>
            <w:hideMark/>
          </w:tcPr>
          <w:p w14:paraId="3F81321C" w14:textId="77777777" w:rsidR="00C7746D" w:rsidRPr="00465332" w:rsidRDefault="00C7746D" w:rsidP="00D5629E">
            <w:pPr>
              <w:pStyle w:val="TableText"/>
              <w:rPr>
                <w:sz w:val="16"/>
                <w:szCs w:val="16"/>
              </w:rPr>
            </w:pPr>
            <w:r w:rsidRPr="00465332">
              <w:rPr>
                <w:sz w:val="16"/>
                <w:szCs w:val="16"/>
              </w:rPr>
              <w:t>9%</w:t>
            </w:r>
          </w:p>
        </w:tc>
      </w:tr>
      <w:tr w:rsidR="00C7746D" w:rsidRPr="00465332" w14:paraId="2E32245E" w14:textId="77777777" w:rsidTr="00D114C8">
        <w:trPr>
          <w:trHeight w:val="20"/>
          <w:jc w:val="center"/>
        </w:trPr>
        <w:tc>
          <w:tcPr>
            <w:tcW w:w="1866" w:type="dxa"/>
            <w:tcBorders>
              <w:top w:val="single" w:sz="4" w:space="0" w:color="auto"/>
            </w:tcBorders>
            <w:shd w:val="clear" w:color="auto" w:fill="auto"/>
            <w:noWrap/>
            <w:vAlign w:val="bottom"/>
            <w:hideMark/>
          </w:tcPr>
          <w:p w14:paraId="06AB4862" w14:textId="77777777" w:rsidR="00C7746D" w:rsidRPr="00D5629E" w:rsidRDefault="00C7746D" w:rsidP="00D5629E">
            <w:pPr>
              <w:pStyle w:val="TableTextL"/>
            </w:pPr>
            <w:r w:rsidRPr="00D5629E">
              <w:t>San Mateo County</w:t>
            </w:r>
          </w:p>
        </w:tc>
        <w:tc>
          <w:tcPr>
            <w:tcW w:w="924" w:type="dxa"/>
            <w:tcBorders>
              <w:top w:val="single" w:sz="4" w:space="0" w:color="auto"/>
            </w:tcBorders>
            <w:shd w:val="clear" w:color="auto" w:fill="auto"/>
            <w:noWrap/>
            <w:vAlign w:val="center"/>
            <w:hideMark/>
          </w:tcPr>
          <w:p w14:paraId="74048DEC" w14:textId="77777777" w:rsidR="00C7746D" w:rsidRPr="00465332" w:rsidRDefault="00C7746D" w:rsidP="00D5629E">
            <w:pPr>
              <w:pStyle w:val="TableText"/>
              <w:rPr>
                <w:color w:val="000000"/>
                <w:sz w:val="16"/>
                <w:szCs w:val="16"/>
              </w:rPr>
            </w:pPr>
            <w:r w:rsidRPr="00465332">
              <w:rPr>
                <w:color w:val="000000"/>
                <w:sz w:val="16"/>
                <w:szCs w:val="16"/>
              </w:rPr>
              <w:t>774,155</w:t>
            </w:r>
          </w:p>
        </w:tc>
        <w:tc>
          <w:tcPr>
            <w:tcW w:w="1170" w:type="dxa"/>
            <w:tcBorders>
              <w:top w:val="single" w:sz="4" w:space="0" w:color="auto"/>
            </w:tcBorders>
            <w:shd w:val="clear" w:color="auto" w:fill="auto"/>
            <w:noWrap/>
            <w:vAlign w:val="center"/>
            <w:hideMark/>
          </w:tcPr>
          <w:p w14:paraId="6DC58B05" w14:textId="77777777" w:rsidR="00C7746D" w:rsidRPr="00465332" w:rsidRDefault="00C7746D" w:rsidP="00D5629E">
            <w:pPr>
              <w:pStyle w:val="TableText"/>
              <w:rPr>
                <w:color w:val="000000"/>
                <w:sz w:val="16"/>
                <w:szCs w:val="16"/>
              </w:rPr>
            </w:pPr>
            <w:r w:rsidRPr="00465332">
              <w:rPr>
                <w:color w:val="000000"/>
                <w:sz w:val="16"/>
                <w:szCs w:val="16"/>
              </w:rPr>
              <w:t>792,271</w:t>
            </w:r>
          </w:p>
        </w:tc>
        <w:tc>
          <w:tcPr>
            <w:tcW w:w="1170" w:type="dxa"/>
            <w:tcBorders>
              <w:top w:val="single" w:sz="4" w:space="0" w:color="auto"/>
            </w:tcBorders>
            <w:shd w:val="clear" w:color="auto" w:fill="auto"/>
            <w:noWrap/>
            <w:vAlign w:val="center"/>
            <w:hideMark/>
          </w:tcPr>
          <w:p w14:paraId="4E733B6C" w14:textId="77777777" w:rsidR="00C7746D" w:rsidRPr="00465332" w:rsidRDefault="00C7746D" w:rsidP="00D5629E">
            <w:pPr>
              <w:pStyle w:val="TableText"/>
              <w:rPr>
                <w:color w:val="000000"/>
                <w:sz w:val="16"/>
                <w:szCs w:val="16"/>
              </w:rPr>
            </w:pPr>
            <w:r w:rsidRPr="00465332">
              <w:rPr>
                <w:color w:val="000000"/>
                <w:sz w:val="16"/>
                <w:szCs w:val="16"/>
              </w:rPr>
              <w:t>844,778</w:t>
            </w:r>
          </w:p>
        </w:tc>
        <w:tc>
          <w:tcPr>
            <w:tcW w:w="1170" w:type="dxa"/>
            <w:tcBorders>
              <w:top w:val="single" w:sz="4" w:space="0" w:color="auto"/>
            </w:tcBorders>
            <w:shd w:val="clear" w:color="auto" w:fill="auto"/>
            <w:noWrap/>
            <w:vAlign w:val="center"/>
            <w:hideMark/>
          </w:tcPr>
          <w:p w14:paraId="35BB7AC6" w14:textId="77777777" w:rsidR="00C7746D" w:rsidRPr="00465332" w:rsidRDefault="00C7746D" w:rsidP="00D5629E">
            <w:pPr>
              <w:pStyle w:val="TableText"/>
              <w:rPr>
                <w:color w:val="000000"/>
                <w:sz w:val="16"/>
                <w:szCs w:val="16"/>
              </w:rPr>
            </w:pPr>
            <w:r w:rsidRPr="00465332">
              <w:rPr>
                <w:color w:val="000000"/>
                <w:sz w:val="16"/>
                <w:szCs w:val="16"/>
              </w:rPr>
              <w:t>884,198</w:t>
            </w:r>
          </w:p>
        </w:tc>
        <w:tc>
          <w:tcPr>
            <w:tcW w:w="1170" w:type="dxa"/>
            <w:tcBorders>
              <w:top w:val="single" w:sz="4" w:space="0" w:color="auto"/>
            </w:tcBorders>
            <w:shd w:val="clear" w:color="auto" w:fill="auto"/>
            <w:noWrap/>
            <w:vAlign w:val="center"/>
            <w:hideMark/>
          </w:tcPr>
          <w:p w14:paraId="7461BDEA" w14:textId="77777777" w:rsidR="00C7746D" w:rsidRPr="00465332" w:rsidRDefault="00C7746D" w:rsidP="00D5629E">
            <w:pPr>
              <w:pStyle w:val="TableText"/>
              <w:rPr>
                <w:color w:val="000000"/>
                <w:sz w:val="16"/>
                <w:szCs w:val="16"/>
              </w:rPr>
            </w:pPr>
            <w:r w:rsidRPr="00465332">
              <w:rPr>
                <w:color w:val="000000"/>
                <w:sz w:val="16"/>
                <w:szCs w:val="16"/>
              </w:rPr>
              <w:t>913,131</w:t>
            </w:r>
          </w:p>
        </w:tc>
        <w:tc>
          <w:tcPr>
            <w:tcW w:w="1170" w:type="dxa"/>
            <w:tcBorders>
              <w:top w:val="single" w:sz="4" w:space="0" w:color="auto"/>
            </w:tcBorders>
            <w:shd w:val="clear" w:color="auto" w:fill="auto"/>
            <w:noWrap/>
            <w:vAlign w:val="center"/>
            <w:hideMark/>
          </w:tcPr>
          <w:p w14:paraId="64BFBEDB" w14:textId="77777777" w:rsidR="00C7746D" w:rsidRPr="00465332" w:rsidRDefault="00C7746D" w:rsidP="00D5629E">
            <w:pPr>
              <w:pStyle w:val="TableText"/>
              <w:rPr>
                <w:color w:val="000000"/>
                <w:sz w:val="16"/>
                <w:szCs w:val="16"/>
              </w:rPr>
            </w:pPr>
            <w:r w:rsidRPr="00465332">
              <w:rPr>
                <w:color w:val="000000"/>
                <w:sz w:val="16"/>
                <w:szCs w:val="16"/>
              </w:rPr>
              <w:t>936,154</w:t>
            </w:r>
          </w:p>
        </w:tc>
        <w:tc>
          <w:tcPr>
            <w:tcW w:w="1440" w:type="dxa"/>
            <w:tcBorders>
              <w:top w:val="single" w:sz="4" w:space="0" w:color="auto"/>
            </w:tcBorders>
            <w:shd w:val="clear" w:color="auto" w:fill="auto"/>
            <w:noWrap/>
            <w:vAlign w:val="center"/>
            <w:hideMark/>
          </w:tcPr>
          <w:p w14:paraId="2B09B359" w14:textId="77777777" w:rsidR="00C7746D" w:rsidRPr="00465332" w:rsidRDefault="00C7746D" w:rsidP="00D5629E">
            <w:pPr>
              <w:pStyle w:val="TableText"/>
              <w:rPr>
                <w:sz w:val="16"/>
                <w:szCs w:val="16"/>
              </w:rPr>
            </w:pPr>
            <w:r w:rsidRPr="00465332">
              <w:rPr>
                <w:sz w:val="16"/>
                <w:szCs w:val="16"/>
              </w:rPr>
              <w:t>21%</w:t>
            </w:r>
          </w:p>
        </w:tc>
      </w:tr>
      <w:tr w:rsidR="00C7746D" w:rsidRPr="00465332" w14:paraId="70C7E9D4" w14:textId="77777777" w:rsidTr="00D114C8">
        <w:trPr>
          <w:trHeight w:val="20"/>
          <w:jc w:val="center"/>
        </w:trPr>
        <w:tc>
          <w:tcPr>
            <w:tcW w:w="1866" w:type="dxa"/>
            <w:shd w:val="clear" w:color="auto" w:fill="auto"/>
            <w:noWrap/>
            <w:vAlign w:val="bottom"/>
            <w:hideMark/>
          </w:tcPr>
          <w:p w14:paraId="54A9E51E" w14:textId="77777777" w:rsidR="00C7746D" w:rsidRPr="00D5629E" w:rsidRDefault="00C7746D" w:rsidP="00D5629E">
            <w:pPr>
              <w:pStyle w:val="TableTextL"/>
            </w:pPr>
            <w:r w:rsidRPr="00D5629E">
              <w:t>Santa Barbara County</w:t>
            </w:r>
          </w:p>
        </w:tc>
        <w:tc>
          <w:tcPr>
            <w:tcW w:w="924" w:type="dxa"/>
            <w:shd w:val="clear" w:color="auto" w:fill="auto"/>
            <w:noWrap/>
            <w:vAlign w:val="center"/>
            <w:hideMark/>
          </w:tcPr>
          <w:p w14:paraId="14C787DE" w14:textId="77777777" w:rsidR="00C7746D" w:rsidRPr="00D5629E" w:rsidRDefault="00C7746D" w:rsidP="00D5629E">
            <w:pPr>
              <w:pStyle w:val="TableText"/>
            </w:pPr>
            <w:r w:rsidRPr="00D5629E">
              <w:t>453,457</w:t>
            </w:r>
          </w:p>
        </w:tc>
        <w:tc>
          <w:tcPr>
            <w:tcW w:w="1170" w:type="dxa"/>
            <w:shd w:val="clear" w:color="auto" w:fill="auto"/>
            <w:noWrap/>
            <w:vAlign w:val="center"/>
            <w:hideMark/>
          </w:tcPr>
          <w:p w14:paraId="45B40C91" w14:textId="77777777" w:rsidR="00C7746D" w:rsidRPr="00D5629E" w:rsidRDefault="00C7746D" w:rsidP="00D5629E">
            <w:pPr>
              <w:pStyle w:val="TableText"/>
            </w:pPr>
            <w:r w:rsidRPr="00D5629E">
              <w:t>460,444</w:t>
            </w:r>
          </w:p>
        </w:tc>
        <w:tc>
          <w:tcPr>
            <w:tcW w:w="1170" w:type="dxa"/>
            <w:shd w:val="clear" w:color="auto" w:fill="auto"/>
            <w:noWrap/>
            <w:vAlign w:val="center"/>
            <w:hideMark/>
          </w:tcPr>
          <w:p w14:paraId="2752E401" w14:textId="77777777" w:rsidR="00C7746D" w:rsidRPr="00D5629E" w:rsidRDefault="00C7746D" w:rsidP="00D5629E">
            <w:pPr>
              <w:pStyle w:val="TableText"/>
            </w:pPr>
            <w:r w:rsidRPr="00D5629E">
              <w:t>491,023</w:t>
            </w:r>
          </w:p>
        </w:tc>
        <w:tc>
          <w:tcPr>
            <w:tcW w:w="1170" w:type="dxa"/>
            <w:shd w:val="clear" w:color="auto" w:fill="auto"/>
            <w:noWrap/>
            <w:vAlign w:val="center"/>
            <w:hideMark/>
          </w:tcPr>
          <w:p w14:paraId="3201BF39" w14:textId="77777777" w:rsidR="00C7746D" w:rsidRPr="00D5629E" w:rsidRDefault="00C7746D" w:rsidP="00D5629E">
            <w:pPr>
              <w:pStyle w:val="TableText"/>
            </w:pPr>
            <w:r w:rsidRPr="00D5629E">
              <w:t>514,691</w:t>
            </w:r>
          </w:p>
        </w:tc>
        <w:tc>
          <w:tcPr>
            <w:tcW w:w="1170" w:type="dxa"/>
            <w:shd w:val="clear" w:color="auto" w:fill="auto"/>
            <w:noWrap/>
            <w:vAlign w:val="center"/>
            <w:hideMark/>
          </w:tcPr>
          <w:p w14:paraId="0811C4C7" w14:textId="77777777" w:rsidR="00C7746D" w:rsidRPr="00D5629E" w:rsidRDefault="00C7746D" w:rsidP="00D5629E">
            <w:pPr>
              <w:pStyle w:val="TableText"/>
            </w:pPr>
            <w:r w:rsidRPr="00D5629E">
              <w:t>529,780</w:t>
            </w:r>
          </w:p>
        </w:tc>
        <w:tc>
          <w:tcPr>
            <w:tcW w:w="1170" w:type="dxa"/>
            <w:shd w:val="clear" w:color="auto" w:fill="auto"/>
            <w:noWrap/>
            <w:vAlign w:val="center"/>
            <w:hideMark/>
          </w:tcPr>
          <w:p w14:paraId="2CB6BC51" w14:textId="77777777" w:rsidR="00C7746D" w:rsidRPr="00D5629E" w:rsidRDefault="00C7746D" w:rsidP="00D5629E">
            <w:pPr>
              <w:pStyle w:val="TableText"/>
            </w:pPr>
            <w:r w:rsidRPr="00D5629E">
              <w:t>539,036</w:t>
            </w:r>
          </w:p>
        </w:tc>
        <w:tc>
          <w:tcPr>
            <w:tcW w:w="1440" w:type="dxa"/>
            <w:shd w:val="clear" w:color="auto" w:fill="auto"/>
            <w:noWrap/>
            <w:vAlign w:val="center"/>
            <w:hideMark/>
          </w:tcPr>
          <w:p w14:paraId="796347D7" w14:textId="77777777" w:rsidR="00C7746D" w:rsidRPr="00D5629E" w:rsidRDefault="00C7746D" w:rsidP="00D5629E">
            <w:pPr>
              <w:pStyle w:val="TableText"/>
            </w:pPr>
            <w:r w:rsidRPr="00D5629E">
              <w:t>19%</w:t>
            </w:r>
          </w:p>
        </w:tc>
      </w:tr>
      <w:tr w:rsidR="00C7746D" w:rsidRPr="00465332" w14:paraId="7BE4DB54" w14:textId="77777777" w:rsidTr="00D114C8">
        <w:trPr>
          <w:trHeight w:val="20"/>
          <w:jc w:val="center"/>
        </w:trPr>
        <w:tc>
          <w:tcPr>
            <w:tcW w:w="1866" w:type="dxa"/>
            <w:shd w:val="clear" w:color="auto" w:fill="auto"/>
            <w:noWrap/>
            <w:vAlign w:val="bottom"/>
            <w:hideMark/>
          </w:tcPr>
          <w:p w14:paraId="40626B6B" w14:textId="77777777" w:rsidR="00C7746D" w:rsidRPr="00D5629E" w:rsidRDefault="00C7746D" w:rsidP="00D5629E">
            <w:pPr>
              <w:pStyle w:val="TableTextL"/>
            </w:pPr>
            <w:r w:rsidRPr="00D5629E">
              <w:t>Santa Clara County</w:t>
            </w:r>
          </w:p>
        </w:tc>
        <w:tc>
          <w:tcPr>
            <w:tcW w:w="924" w:type="dxa"/>
            <w:shd w:val="clear" w:color="auto" w:fill="auto"/>
            <w:noWrap/>
            <w:vAlign w:val="center"/>
            <w:hideMark/>
          </w:tcPr>
          <w:p w14:paraId="1ABFB606" w14:textId="77777777" w:rsidR="00C7746D" w:rsidRPr="00D5629E" w:rsidRDefault="00C7746D" w:rsidP="00D5629E">
            <w:pPr>
              <w:pStyle w:val="TableText"/>
            </w:pPr>
            <w:r w:rsidRPr="00D5629E">
              <w:t>1,956,598</w:t>
            </w:r>
          </w:p>
        </w:tc>
        <w:tc>
          <w:tcPr>
            <w:tcW w:w="1170" w:type="dxa"/>
            <w:shd w:val="clear" w:color="auto" w:fill="auto"/>
            <w:noWrap/>
            <w:vAlign w:val="center"/>
            <w:hideMark/>
          </w:tcPr>
          <w:p w14:paraId="47B6C8F7" w14:textId="77777777" w:rsidR="00C7746D" w:rsidRPr="00D5629E" w:rsidRDefault="00C7746D" w:rsidP="00D5629E">
            <w:pPr>
              <w:pStyle w:val="TableText"/>
            </w:pPr>
            <w:r w:rsidRPr="00D5629E">
              <w:t>2,011,436</w:t>
            </w:r>
          </w:p>
        </w:tc>
        <w:tc>
          <w:tcPr>
            <w:tcW w:w="1170" w:type="dxa"/>
            <w:shd w:val="clear" w:color="auto" w:fill="auto"/>
            <w:noWrap/>
            <w:vAlign w:val="center"/>
            <w:hideMark/>
          </w:tcPr>
          <w:p w14:paraId="4A487BD4" w14:textId="77777777" w:rsidR="00C7746D" w:rsidRPr="00D5629E" w:rsidRDefault="00C7746D" w:rsidP="00D5629E">
            <w:pPr>
              <w:pStyle w:val="TableText"/>
            </w:pPr>
            <w:r w:rsidRPr="00D5629E">
              <w:t>2,223,743</w:t>
            </w:r>
          </w:p>
        </w:tc>
        <w:tc>
          <w:tcPr>
            <w:tcW w:w="1170" w:type="dxa"/>
            <w:shd w:val="clear" w:color="auto" w:fill="auto"/>
            <w:noWrap/>
            <w:vAlign w:val="center"/>
            <w:hideMark/>
          </w:tcPr>
          <w:p w14:paraId="59C35486" w14:textId="77777777" w:rsidR="00C7746D" w:rsidRPr="00D5629E" w:rsidRDefault="00C7746D" w:rsidP="00D5629E">
            <w:pPr>
              <w:pStyle w:val="TableText"/>
            </w:pPr>
            <w:r w:rsidRPr="00D5629E">
              <w:t>2,436,897</w:t>
            </w:r>
          </w:p>
        </w:tc>
        <w:tc>
          <w:tcPr>
            <w:tcW w:w="1170" w:type="dxa"/>
            <w:shd w:val="clear" w:color="auto" w:fill="auto"/>
            <w:noWrap/>
            <w:vAlign w:val="center"/>
            <w:hideMark/>
          </w:tcPr>
          <w:p w14:paraId="358E70B9" w14:textId="77777777" w:rsidR="00C7746D" w:rsidRPr="00D5629E" w:rsidRDefault="00C7746D" w:rsidP="00D5629E">
            <w:pPr>
              <w:pStyle w:val="TableText"/>
            </w:pPr>
            <w:r w:rsidRPr="00D5629E">
              <w:t>2,633,652</w:t>
            </w:r>
          </w:p>
        </w:tc>
        <w:tc>
          <w:tcPr>
            <w:tcW w:w="1170" w:type="dxa"/>
            <w:shd w:val="clear" w:color="auto" w:fill="auto"/>
            <w:noWrap/>
            <w:vAlign w:val="center"/>
            <w:hideMark/>
          </w:tcPr>
          <w:p w14:paraId="34872D18" w14:textId="77777777" w:rsidR="00C7746D" w:rsidRPr="00D5629E" w:rsidRDefault="00C7746D" w:rsidP="00D5629E">
            <w:pPr>
              <w:pStyle w:val="TableText"/>
            </w:pPr>
            <w:r w:rsidRPr="00D5629E">
              <w:t>2,804,044</w:t>
            </w:r>
          </w:p>
        </w:tc>
        <w:tc>
          <w:tcPr>
            <w:tcW w:w="1440" w:type="dxa"/>
            <w:shd w:val="clear" w:color="auto" w:fill="auto"/>
            <w:noWrap/>
            <w:vAlign w:val="center"/>
            <w:hideMark/>
          </w:tcPr>
          <w:p w14:paraId="40D9BAED" w14:textId="77777777" w:rsidR="00C7746D" w:rsidRPr="00D5629E" w:rsidRDefault="00C7746D" w:rsidP="00D5629E">
            <w:pPr>
              <w:pStyle w:val="TableText"/>
            </w:pPr>
            <w:r w:rsidRPr="00D5629E">
              <w:t>43%</w:t>
            </w:r>
          </w:p>
        </w:tc>
      </w:tr>
      <w:tr w:rsidR="00C7746D" w:rsidRPr="00465332" w14:paraId="02EA4CD0" w14:textId="77777777" w:rsidTr="00D114C8">
        <w:trPr>
          <w:trHeight w:val="20"/>
          <w:jc w:val="center"/>
        </w:trPr>
        <w:tc>
          <w:tcPr>
            <w:tcW w:w="1866" w:type="dxa"/>
            <w:shd w:val="clear" w:color="auto" w:fill="auto"/>
            <w:noWrap/>
            <w:vAlign w:val="bottom"/>
            <w:hideMark/>
          </w:tcPr>
          <w:p w14:paraId="15BF1F6D" w14:textId="77777777" w:rsidR="00C7746D" w:rsidRPr="00D5629E" w:rsidRDefault="00C7746D" w:rsidP="00D5629E">
            <w:pPr>
              <w:pStyle w:val="TableTextL"/>
            </w:pPr>
            <w:r w:rsidRPr="00D5629E">
              <w:t>Santa Cruz County</w:t>
            </w:r>
          </w:p>
        </w:tc>
        <w:tc>
          <w:tcPr>
            <w:tcW w:w="924" w:type="dxa"/>
            <w:shd w:val="clear" w:color="auto" w:fill="auto"/>
            <w:noWrap/>
            <w:vAlign w:val="center"/>
            <w:hideMark/>
          </w:tcPr>
          <w:p w14:paraId="60256074" w14:textId="77777777" w:rsidR="00C7746D" w:rsidRPr="00D5629E" w:rsidRDefault="00C7746D" w:rsidP="00D5629E">
            <w:pPr>
              <w:pStyle w:val="TableText"/>
            </w:pPr>
            <w:r w:rsidRPr="00D5629E">
              <w:t>276,864</w:t>
            </w:r>
          </w:p>
        </w:tc>
        <w:tc>
          <w:tcPr>
            <w:tcW w:w="1170" w:type="dxa"/>
            <w:shd w:val="clear" w:color="auto" w:fill="auto"/>
            <w:noWrap/>
            <w:vAlign w:val="center"/>
            <w:hideMark/>
          </w:tcPr>
          <w:p w14:paraId="14F22367" w14:textId="77777777" w:rsidR="00C7746D" w:rsidRPr="00D5629E" w:rsidRDefault="00C7746D" w:rsidP="00D5629E">
            <w:pPr>
              <w:pStyle w:val="TableText"/>
            </w:pPr>
            <w:r w:rsidRPr="00D5629E">
              <w:t>282,627</w:t>
            </w:r>
          </w:p>
        </w:tc>
        <w:tc>
          <w:tcPr>
            <w:tcW w:w="1170" w:type="dxa"/>
            <w:shd w:val="clear" w:color="auto" w:fill="auto"/>
            <w:noWrap/>
            <w:vAlign w:val="center"/>
            <w:hideMark/>
          </w:tcPr>
          <w:p w14:paraId="2844D10E" w14:textId="77777777" w:rsidR="00C7746D" w:rsidRPr="00D5629E" w:rsidRDefault="00C7746D" w:rsidP="00D5629E">
            <w:pPr>
              <w:pStyle w:val="TableText"/>
            </w:pPr>
            <w:r w:rsidRPr="00D5629E">
              <w:t>301,494</w:t>
            </w:r>
          </w:p>
        </w:tc>
        <w:tc>
          <w:tcPr>
            <w:tcW w:w="1170" w:type="dxa"/>
            <w:shd w:val="clear" w:color="auto" w:fill="auto"/>
            <w:noWrap/>
            <w:vAlign w:val="center"/>
            <w:hideMark/>
          </w:tcPr>
          <w:p w14:paraId="7314C71F" w14:textId="77777777" w:rsidR="00C7746D" w:rsidRPr="00D5629E" w:rsidRDefault="00C7746D" w:rsidP="00D5629E">
            <w:pPr>
              <w:pStyle w:val="TableText"/>
            </w:pPr>
            <w:r w:rsidRPr="00D5629E">
              <w:t>315,659</w:t>
            </w:r>
          </w:p>
        </w:tc>
        <w:tc>
          <w:tcPr>
            <w:tcW w:w="1170" w:type="dxa"/>
            <w:shd w:val="clear" w:color="auto" w:fill="auto"/>
            <w:noWrap/>
            <w:vAlign w:val="center"/>
            <w:hideMark/>
          </w:tcPr>
          <w:p w14:paraId="7F27E393" w14:textId="77777777" w:rsidR="00C7746D" w:rsidRPr="00D5629E" w:rsidRDefault="00C7746D" w:rsidP="00D5629E">
            <w:pPr>
              <w:pStyle w:val="TableText"/>
            </w:pPr>
            <w:r w:rsidRPr="00D5629E">
              <w:t>325,799</w:t>
            </w:r>
          </w:p>
        </w:tc>
        <w:tc>
          <w:tcPr>
            <w:tcW w:w="1170" w:type="dxa"/>
            <w:shd w:val="clear" w:color="auto" w:fill="auto"/>
            <w:noWrap/>
            <w:vAlign w:val="center"/>
            <w:hideMark/>
          </w:tcPr>
          <w:p w14:paraId="38526D39" w14:textId="77777777" w:rsidR="00C7746D" w:rsidRPr="00D5629E" w:rsidRDefault="00C7746D" w:rsidP="00D5629E">
            <w:pPr>
              <w:pStyle w:val="TableText"/>
            </w:pPr>
            <w:r w:rsidRPr="00D5629E">
              <w:t>335,767</w:t>
            </w:r>
          </w:p>
        </w:tc>
        <w:tc>
          <w:tcPr>
            <w:tcW w:w="1440" w:type="dxa"/>
            <w:shd w:val="clear" w:color="auto" w:fill="auto"/>
            <w:noWrap/>
            <w:vAlign w:val="center"/>
            <w:hideMark/>
          </w:tcPr>
          <w:p w14:paraId="4D34F00F" w14:textId="77777777" w:rsidR="00C7746D" w:rsidRPr="00D5629E" w:rsidRDefault="00C7746D" w:rsidP="00D5629E">
            <w:pPr>
              <w:pStyle w:val="TableText"/>
            </w:pPr>
            <w:r w:rsidRPr="00D5629E">
              <w:t>21%</w:t>
            </w:r>
          </w:p>
        </w:tc>
      </w:tr>
      <w:tr w:rsidR="00C7746D" w:rsidRPr="00465332" w14:paraId="406E0AA2" w14:textId="77777777" w:rsidTr="00D114C8">
        <w:trPr>
          <w:trHeight w:val="20"/>
          <w:jc w:val="center"/>
        </w:trPr>
        <w:tc>
          <w:tcPr>
            <w:tcW w:w="1866" w:type="dxa"/>
            <w:tcBorders>
              <w:bottom w:val="single" w:sz="4" w:space="0" w:color="auto"/>
            </w:tcBorders>
            <w:shd w:val="clear" w:color="auto" w:fill="auto"/>
            <w:noWrap/>
            <w:vAlign w:val="bottom"/>
            <w:hideMark/>
          </w:tcPr>
          <w:p w14:paraId="71918779" w14:textId="77777777" w:rsidR="00C7746D" w:rsidRPr="00D5629E" w:rsidRDefault="00C7746D" w:rsidP="00D5629E">
            <w:pPr>
              <w:pStyle w:val="TableTextL"/>
            </w:pPr>
            <w:r w:rsidRPr="00D5629E">
              <w:t>Shasta County</w:t>
            </w:r>
          </w:p>
        </w:tc>
        <w:tc>
          <w:tcPr>
            <w:tcW w:w="924" w:type="dxa"/>
            <w:tcBorders>
              <w:bottom w:val="single" w:sz="4" w:space="0" w:color="auto"/>
            </w:tcBorders>
            <w:shd w:val="clear" w:color="auto" w:fill="auto"/>
            <w:noWrap/>
            <w:vAlign w:val="center"/>
            <w:hideMark/>
          </w:tcPr>
          <w:p w14:paraId="77072AD6" w14:textId="77777777" w:rsidR="00C7746D" w:rsidRPr="00D5629E" w:rsidRDefault="00C7746D" w:rsidP="00D5629E">
            <w:pPr>
              <w:pStyle w:val="TableText"/>
            </w:pPr>
            <w:r w:rsidRPr="00D5629E">
              <w:t>178,271</w:t>
            </w:r>
          </w:p>
        </w:tc>
        <w:tc>
          <w:tcPr>
            <w:tcW w:w="1170" w:type="dxa"/>
            <w:tcBorders>
              <w:bottom w:val="single" w:sz="4" w:space="0" w:color="auto"/>
            </w:tcBorders>
            <w:shd w:val="clear" w:color="auto" w:fill="auto"/>
            <w:noWrap/>
            <w:vAlign w:val="center"/>
            <w:hideMark/>
          </w:tcPr>
          <w:p w14:paraId="69034AA7" w14:textId="77777777" w:rsidR="00C7746D" w:rsidRPr="00D5629E" w:rsidRDefault="00C7746D" w:rsidP="00D5629E">
            <w:pPr>
              <w:pStyle w:val="TableText"/>
            </w:pPr>
            <w:r w:rsidRPr="00D5629E">
              <w:t>180,198</w:t>
            </w:r>
          </w:p>
        </w:tc>
        <w:tc>
          <w:tcPr>
            <w:tcW w:w="1170" w:type="dxa"/>
            <w:tcBorders>
              <w:bottom w:val="single" w:sz="4" w:space="0" w:color="auto"/>
            </w:tcBorders>
            <w:shd w:val="clear" w:color="auto" w:fill="auto"/>
            <w:noWrap/>
            <w:vAlign w:val="center"/>
            <w:hideMark/>
          </w:tcPr>
          <w:p w14:paraId="3E53CCB3" w14:textId="77777777" w:rsidR="00C7746D" w:rsidRPr="00D5629E" w:rsidRDefault="00C7746D" w:rsidP="00D5629E">
            <w:pPr>
              <w:pStyle w:val="TableText"/>
            </w:pPr>
            <w:r w:rsidRPr="00D5629E">
              <w:t>188,989</w:t>
            </w:r>
          </w:p>
        </w:tc>
        <w:tc>
          <w:tcPr>
            <w:tcW w:w="1170" w:type="dxa"/>
            <w:tcBorders>
              <w:bottom w:val="single" w:sz="4" w:space="0" w:color="auto"/>
            </w:tcBorders>
            <w:shd w:val="clear" w:color="auto" w:fill="auto"/>
            <w:noWrap/>
            <w:vAlign w:val="center"/>
            <w:hideMark/>
          </w:tcPr>
          <w:p w14:paraId="2FE0B550" w14:textId="77777777" w:rsidR="00C7746D" w:rsidRPr="00D5629E" w:rsidRDefault="00C7746D" w:rsidP="00D5629E">
            <w:pPr>
              <w:pStyle w:val="TableText"/>
            </w:pPr>
            <w:r w:rsidRPr="00D5629E">
              <w:t>196,798</w:t>
            </w:r>
          </w:p>
        </w:tc>
        <w:tc>
          <w:tcPr>
            <w:tcW w:w="1170" w:type="dxa"/>
            <w:tcBorders>
              <w:bottom w:val="single" w:sz="4" w:space="0" w:color="auto"/>
            </w:tcBorders>
            <w:shd w:val="clear" w:color="auto" w:fill="auto"/>
            <w:noWrap/>
            <w:vAlign w:val="center"/>
            <w:hideMark/>
          </w:tcPr>
          <w:p w14:paraId="5A988013" w14:textId="77777777" w:rsidR="00C7746D" w:rsidRPr="00D5629E" w:rsidRDefault="00C7746D" w:rsidP="00D5629E">
            <w:pPr>
              <w:pStyle w:val="TableText"/>
            </w:pPr>
            <w:r w:rsidRPr="00D5629E">
              <w:t>202,959</w:t>
            </w:r>
          </w:p>
        </w:tc>
        <w:tc>
          <w:tcPr>
            <w:tcW w:w="1170" w:type="dxa"/>
            <w:tcBorders>
              <w:bottom w:val="single" w:sz="4" w:space="0" w:color="auto"/>
            </w:tcBorders>
            <w:shd w:val="clear" w:color="auto" w:fill="auto"/>
            <w:noWrap/>
            <w:vAlign w:val="center"/>
            <w:hideMark/>
          </w:tcPr>
          <w:p w14:paraId="277633B8" w14:textId="77777777" w:rsidR="00C7746D" w:rsidRPr="00D5629E" w:rsidRDefault="00C7746D" w:rsidP="00D5629E">
            <w:pPr>
              <w:pStyle w:val="TableText"/>
            </w:pPr>
            <w:r w:rsidRPr="00D5629E">
              <w:t>210,156</w:t>
            </w:r>
          </w:p>
        </w:tc>
        <w:tc>
          <w:tcPr>
            <w:tcW w:w="1440" w:type="dxa"/>
            <w:tcBorders>
              <w:bottom w:val="single" w:sz="4" w:space="0" w:color="auto"/>
            </w:tcBorders>
            <w:shd w:val="clear" w:color="auto" w:fill="auto"/>
            <w:noWrap/>
            <w:vAlign w:val="center"/>
            <w:hideMark/>
          </w:tcPr>
          <w:p w14:paraId="7CAAD303" w14:textId="77777777" w:rsidR="00C7746D" w:rsidRPr="00D5629E" w:rsidRDefault="00C7746D" w:rsidP="00D5629E">
            <w:pPr>
              <w:pStyle w:val="TableText"/>
            </w:pPr>
            <w:r w:rsidRPr="00D5629E">
              <w:t>18%</w:t>
            </w:r>
          </w:p>
        </w:tc>
      </w:tr>
      <w:tr w:rsidR="00C7746D" w:rsidRPr="00465332" w14:paraId="7A416F79" w14:textId="77777777" w:rsidTr="00D114C8">
        <w:trPr>
          <w:trHeight w:val="20"/>
          <w:jc w:val="center"/>
        </w:trPr>
        <w:tc>
          <w:tcPr>
            <w:tcW w:w="1866" w:type="dxa"/>
            <w:tcBorders>
              <w:top w:val="single" w:sz="4" w:space="0" w:color="auto"/>
              <w:bottom w:val="single" w:sz="4" w:space="0" w:color="auto"/>
            </w:tcBorders>
            <w:shd w:val="clear" w:color="auto" w:fill="auto"/>
            <w:noWrap/>
            <w:vAlign w:val="bottom"/>
            <w:hideMark/>
          </w:tcPr>
          <w:p w14:paraId="589ABC19" w14:textId="77777777" w:rsidR="00C7746D" w:rsidRPr="00D5629E" w:rsidRDefault="00C7746D" w:rsidP="00D5629E">
            <w:pPr>
              <w:pStyle w:val="TableTextL"/>
            </w:pPr>
            <w:r w:rsidRPr="00D5629E">
              <w:t>Sierra County</w:t>
            </w:r>
          </w:p>
        </w:tc>
        <w:tc>
          <w:tcPr>
            <w:tcW w:w="924" w:type="dxa"/>
            <w:tcBorders>
              <w:top w:val="single" w:sz="4" w:space="0" w:color="auto"/>
              <w:bottom w:val="single" w:sz="4" w:space="0" w:color="auto"/>
            </w:tcBorders>
            <w:shd w:val="clear" w:color="auto" w:fill="auto"/>
            <w:noWrap/>
            <w:vAlign w:val="center"/>
            <w:hideMark/>
          </w:tcPr>
          <w:p w14:paraId="432EDD5A" w14:textId="77777777" w:rsidR="00C7746D" w:rsidRPr="00D5629E" w:rsidRDefault="00C7746D" w:rsidP="00D5629E">
            <w:pPr>
              <w:pStyle w:val="TableText"/>
            </w:pPr>
            <w:r w:rsidRPr="00D5629E">
              <w:t>3,207</w:t>
            </w:r>
          </w:p>
        </w:tc>
        <w:tc>
          <w:tcPr>
            <w:tcW w:w="1170" w:type="dxa"/>
            <w:tcBorders>
              <w:top w:val="single" w:sz="4" w:space="0" w:color="auto"/>
              <w:bottom w:val="single" w:sz="4" w:space="0" w:color="auto"/>
            </w:tcBorders>
            <w:shd w:val="clear" w:color="auto" w:fill="auto"/>
            <w:noWrap/>
            <w:vAlign w:val="center"/>
            <w:hideMark/>
          </w:tcPr>
          <w:p w14:paraId="77EEB077" w14:textId="77777777" w:rsidR="00C7746D" w:rsidRPr="00D5629E" w:rsidRDefault="00C7746D" w:rsidP="00D5629E">
            <w:pPr>
              <w:pStyle w:val="TableText"/>
            </w:pPr>
            <w:r w:rsidRPr="00D5629E">
              <w:t>3,129</w:t>
            </w:r>
          </w:p>
        </w:tc>
        <w:tc>
          <w:tcPr>
            <w:tcW w:w="1170" w:type="dxa"/>
            <w:tcBorders>
              <w:top w:val="single" w:sz="4" w:space="0" w:color="auto"/>
              <w:bottom w:val="single" w:sz="4" w:space="0" w:color="auto"/>
            </w:tcBorders>
            <w:shd w:val="clear" w:color="auto" w:fill="auto"/>
            <w:noWrap/>
            <w:vAlign w:val="center"/>
            <w:hideMark/>
          </w:tcPr>
          <w:p w14:paraId="1AF4BF37" w14:textId="77777777" w:rsidR="00C7746D" w:rsidRPr="00D5629E" w:rsidRDefault="00C7746D" w:rsidP="00D5629E">
            <w:pPr>
              <w:pStyle w:val="TableText"/>
            </w:pPr>
            <w:r w:rsidRPr="00D5629E">
              <w:t>3,087</w:t>
            </w:r>
          </w:p>
        </w:tc>
        <w:tc>
          <w:tcPr>
            <w:tcW w:w="1170" w:type="dxa"/>
            <w:tcBorders>
              <w:top w:val="single" w:sz="4" w:space="0" w:color="auto"/>
              <w:bottom w:val="single" w:sz="4" w:space="0" w:color="auto"/>
            </w:tcBorders>
            <w:shd w:val="clear" w:color="auto" w:fill="auto"/>
            <w:noWrap/>
            <w:vAlign w:val="center"/>
            <w:hideMark/>
          </w:tcPr>
          <w:p w14:paraId="3A586FBB" w14:textId="77777777" w:rsidR="00C7746D" w:rsidRPr="00D5629E" w:rsidRDefault="00C7746D" w:rsidP="00D5629E">
            <w:pPr>
              <w:pStyle w:val="TableText"/>
            </w:pPr>
            <w:r w:rsidRPr="00D5629E">
              <w:t>2,980</w:t>
            </w:r>
          </w:p>
        </w:tc>
        <w:tc>
          <w:tcPr>
            <w:tcW w:w="1170" w:type="dxa"/>
            <w:tcBorders>
              <w:top w:val="single" w:sz="4" w:space="0" w:color="auto"/>
              <w:bottom w:val="single" w:sz="4" w:space="0" w:color="auto"/>
            </w:tcBorders>
            <w:shd w:val="clear" w:color="auto" w:fill="auto"/>
            <w:noWrap/>
            <w:vAlign w:val="center"/>
            <w:hideMark/>
          </w:tcPr>
          <w:p w14:paraId="6DC32F19" w14:textId="77777777" w:rsidR="00C7746D" w:rsidRPr="00D5629E" w:rsidRDefault="00C7746D" w:rsidP="00D5629E">
            <w:pPr>
              <w:pStyle w:val="TableText"/>
            </w:pPr>
            <w:r w:rsidRPr="00D5629E">
              <w:t>2,894</w:t>
            </w:r>
          </w:p>
        </w:tc>
        <w:tc>
          <w:tcPr>
            <w:tcW w:w="1170" w:type="dxa"/>
            <w:tcBorders>
              <w:top w:val="single" w:sz="4" w:space="0" w:color="auto"/>
              <w:bottom w:val="single" w:sz="4" w:space="0" w:color="auto"/>
            </w:tcBorders>
            <w:shd w:val="clear" w:color="auto" w:fill="auto"/>
            <w:noWrap/>
            <w:vAlign w:val="center"/>
            <w:hideMark/>
          </w:tcPr>
          <w:p w14:paraId="73F2CDF0" w14:textId="77777777" w:rsidR="00C7746D" w:rsidRPr="00D5629E" w:rsidRDefault="00C7746D" w:rsidP="00D5629E">
            <w:pPr>
              <w:pStyle w:val="TableText"/>
            </w:pPr>
            <w:r w:rsidRPr="00D5629E">
              <w:t>2,905</w:t>
            </w:r>
          </w:p>
        </w:tc>
        <w:tc>
          <w:tcPr>
            <w:tcW w:w="1440" w:type="dxa"/>
            <w:tcBorders>
              <w:top w:val="single" w:sz="4" w:space="0" w:color="auto"/>
              <w:bottom w:val="single" w:sz="4" w:space="0" w:color="auto"/>
            </w:tcBorders>
            <w:shd w:val="clear" w:color="auto" w:fill="auto"/>
            <w:noWrap/>
            <w:vAlign w:val="center"/>
            <w:hideMark/>
          </w:tcPr>
          <w:p w14:paraId="44D353C4" w14:textId="77777777" w:rsidR="00C7746D" w:rsidRPr="00D5629E" w:rsidRDefault="00C7746D" w:rsidP="00D5629E">
            <w:pPr>
              <w:pStyle w:val="TableText"/>
            </w:pPr>
            <w:r w:rsidRPr="00D5629E">
              <w:t>-9%</w:t>
            </w:r>
          </w:p>
        </w:tc>
      </w:tr>
      <w:tr w:rsidR="00C7746D" w:rsidRPr="00465332" w14:paraId="27AE0BBA" w14:textId="77777777" w:rsidTr="00D114C8">
        <w:trPr>
          <w:trHeight w:val="20"/>
          <w:jc w:val="center"/>
        </w:trPr>
        <w:tc>
          <w:tcPr>
            <w:tcW w:w="1866" w:type="dxa"/>
            <w:tcBorders>
              <w:top w:val="single" w:sz="4" w:space="0" w:color="auto"/>
            </w:tcBorders>
            <w:shd w:val="clear" w:color="auto" w:fill="auto"/>
            <w:noWrap/>
            <w:vAlign w:val="bottom"/>
            <w:hideMark/>
          </w:tcPr>
          <w:p w14:paraId="3B5E7D07" w14:textId="77777777" w:rsidR="00C7746D" w:rsidRPr="00D5629E" w:rsidRDefault="00C7746D" w:rsidP="00D5629E">
            <w:pPr>
              <w:pStyle w:val="TableTextL"/>
            </w:pPr>
            <w:r w:rsidRPr="00D5629E">
              <w:t>Siskiyou County</w:t>
            </w:r>
          </w:p>
        </w:tc>
        <w:tc>
          <w:tcPr>
            <w:tcW w:w="924" w:type="dxa"/>
            <w:tcBorders>
              <w:top w:val="single" w:sz="4" w:space="0" w:color="auto"/>
            </w:tcBorders>
            <w:shd w:val="clear" w:color="auto" w:fill="auto"/>
            <w:noWrap/>
            <w:vAlign w:val="center"/>
            <w:hideMark/>
          </w:tcPr>
          <w:p w14:paraId="32EF49FD" w14:textId="77777777" w:rsidR="00C7746D" w:rsidRPr="00D5629E" w:rsidRDefault="00C7746D" w:rsidP="00D5629E">
            <w:pPr>
              <w:pStyle w:val="TableText"/>
            </w:pPr>
            <w:r w:rsidRPr="00D5629E">
              <w:t>44,612</w:t>
            </w:r>
          </w:p>
        </w:tc>
        <w:tc>
          <w:tcPr>
            <w:tcW w:w="1170" w:type="dxa"/>
            <w:tcBorders>
              <w:top w:val="single" w:sz="4" w:space="0" w:color="auto"/>
            </w:tcBorders>
            <w:shd w:val="clear" w:color="auto" w:fill="auto"/>
            <w:noWrap/>
            <w:vAlign w:val="center"/>
            <w:hideMark/>
          </w:tcPr>
          <w:p w14:paraId="20F63D96" w14:textId="77777777" w:rsidR="00C7746D" w:rsidRPr="00D5629E" w:rsidRDefault="00C7746D" w:rsidP="00D5629E">
            <w:pPr>
              <w:pStyle w:val="TableText"/>
            </w:pPr>
            <w:r w:rsidRPr="00D5629E">
              <w:t>44,186</w:t>
            </w:r>
          </w:p>
        </w:tc>
        <w:tc>
          <w:tcPr>
            <w:tcW w:w="1170" w:type="dxa"/>
            <w:tcBorders>
              <w:top w:val="single" w:sz="4" w:space="0" w:color="auto"/>
            </w:tcBorders>
            <w:shd w:val="clear" w:color="auto" w:fill="auto"/>
            <w:noWrap/>
            <w:vAlign w:val="center"/>
            <w:hideMark/>
          </w:tcPr>
          <w:p w14:paraId="21A572B2" w14:textId="77777777" w:rsidR="00C7746D" w:rsidRPr="00D5629E" w:rsidRDefault="00C7746D" w:rsidP="00D5629E">
            <w:pPr>
              <w:pStyle w:val="TableText"/>
            </w:pPr>
            <w:r w:rsidRPr="00D5629E">
              <w:t>44,406</w:t>
            </w:r>
          </w:p>
        </w:tc>
        <w:tc>
          <w:tcPr>
            <w:tcW w:w="1170" w:type="dxa"/>
            <w:tcBorders>
              <w:top w:val="single" w:sz="4" w:space="0" w:color="auto"/>
            </w:tcBorders>
            <w:shd w:val="clear" w:color="auto" w:fill="auto"/>
            <w:noWrap/>
            <w:vAlign w:val="center"/>
            <w:hideMark/>
          </w:tcPr>
          <w:p w14:paraId="632DC9EA" w14:textId="77777777" w:rsidR="00C7746D" w:rsidRPr="00D5629E" w:rsidRDefault="00C7746D" w:rsidP="00D5629E">
            <w:pPr>
              <w:pStyle w:val="TableText"/>
            </w:pPr>
            <w:r w:rsidRPr="00D5629E">
              <w:t>44,253</w:t>
            </w:r>
          </w:p>
        </w:tc>
        <w:tc>
          <w:tcPr>
            <w:tcW w:w="1170" w:type="dxa"/>
            <w:tcBorders>
              <w:top w:val="single" w:sz="4" w:space="0" w:color="auto"/>
            </w:tcBorders>
            <w:shd w:val="clear" w:color="auto" w:fill="auto"/>
            <w:noWrap/>
            <w:vAlign w:val="center"/>
            <w:hideMark/>
          </w:tcPr>
          <w:p w14:paraId="6EA7F923" w14:textId="77777777" w:rsidR="00C7746D" w:rsidRPr="00D5629E" w:rsidRDefault="00C7746D" w:rsidP="00D5629E">
            <w:pPr>
              <w:pStyle w:val="TableText"/>
            </w:pPr>
            <w:r w:rsidRPr="00D5629E">
              <w:t>43,938</w:t>
            </w:r>
          </w:p>
        </w:tc>
        <w:tc>
          <w:tcPr>
            <w:tcW w:w="1170" w:type="dxa"/>
            <w:tcBorders>
              <w:top w:val="single" w:sz="4" w:space="0" w:color="auto"/>
            </w:tcBorders>
            <w:shd w:val="clear" w:color="auto" w:fill="auto"/>
            <w:noWrap/>
            <w:vAlign w:val="center"/>
            <w:hideMark/>
          </w:tcPr>
          <w:p w14:paraId="3D0D9978" w14:textId="77777777" w:rsidR="00C7746D" w:rsidRPr="00D5629E" w:rsidRDefault="00C7746D" w:rsidP="00D5629E">
            <w:pPr>
              <w:pStyle w:val="TableText"/>
            </w:pPr>
            <w:r w:rsidRPr="00D5629E">
              <w:t>44,868</w:t>
            </w:r>
          </w:p>
        </w:tc>
        <w:tc>
          <w:tcPr>
            <w:tcW w:w="1440" w:type="dxa"/>
            <w:tcBorders>
              <w:top w:val="single" w:sz="4" w:space="0" w:color="auto"/>
            </w:tcBorders>
            <w:shd w:val="clear" w:color="auto" w:fill="auto"/>
            <w:noWrap/>
            <w:vAlign w:val="center"/>
            <w:hideMark/>
          </w:tcPr>
          <w:p w14:paraId="4DC55DD8" w14:textId="77777777" w:rsidR="00C7746D" w:rsidRPr="00D5629E" w:rsidRDefault="00C7746D" w:rsidP="00D5629E">
            <w:pPr>
              <w:pStyle w:val="TableText"/>
            </w:pPr>
            <w:r w:rsidRPr="00D5629E">
              <w:t>1%</w:t>
            </w:r>
          </w:p>
        </w:tc>
      </w:tr>
      <w:tr w:rsidR="00C7746D" w:rsidRPr="00465332" w14:paraId="77D8E654" w14:textId="77777777" w:rsidTr="00D114C8">
        <w:trPr>
          <w:trHeight w:val="20"/>
          <w:jc w:val="center"/>
        </w:trPr>
        <w:tc>
          <w:tcPr>
            <w:tcW w:w="1866" w:type="dxa"/>
            <w:shd w:val="clear" w:color="auto" w:fill="auto"/>
            <w:noWrap/>
            <w:vAlign w:val="bottom"/>
            <w:hideMark/>
          </w:tcPr>
          <w:p w14:paraId="5B049365" w14:textId="77777777" w:rsidR="00C7746D" w:rsidRPr="00D5629E" w:rsidRDefault="00C7746D" w:rsidP="00D5629E">
            <w:pPr>
              <w:pStyle w:val="TableTextL"/>
            </w:pPr>
            <w:r w:rsidRPr="00D5629E">
              <w:t>Solano County</w:t>
            </w:r>
          </w:p>
        </w:tc>
        <w:tc>
          <w:tcPr>
            <w:tcW w:w="924" w:type="dxa"/>
            <w:shd w:val="clear" w:color="auto" w:fill="auto"/>
            <w:noWrap/>
            <w:vAlign w:val="center"/>
            <w:hideMark/>
          </w:tcPr>
          <w:p w14:paraId="599765B4" w14:textId="77777777" w:rsidR="00C7746D" w:rsidRPr="00D5629E" w:rsidRDefault="00C7746D" w:rsidP="00D5629E">
            <w:pPr>
              <w:pStyle w:val="TableText"/>
            </w:pPr>
            <w:r w:rsidRPr="00D5629E">
              <w:t>439,793</w:t>
            </w:r>
          </w:p>
        </w:tc>
        <w:tc>
          <w:tcPr>
            <w:tcW w:w="1170" w:type="dxa"/>
            <w:shd w:val="clear" w:color="auto" w:fill="auto"/>
            <w:noWrap/>
            <w:vAlign w:val="center"/>
            <w:hideMark/>
          </w:tcPr>
          <w:p w14:paraId="20258654" w14:textId="77777777" w:rsidR="00C7746D" w:rsidRPr="00D5629E" w:rsidRDefault="00C7746D" w:rsidP="00D5629E">
            <w:pPr>
              <w:pStyle w:val="TableText"/>
            </w:pPr>
            <w:r w:rsidRPr="00D5629E">
              <w:t>453,784</w:t>
            </w:r>
          </w:p>
        </w:tc>
        <w:tc>
          <w:tcPr>
            <w:tcW w:w="1170" w:type="dxa"/>
            <w:shd w:val="clear" w:color="auto" w:fill="auto"/>
            <w:noWrap/>
            <w:vAlign w:val="center"/>
            <w:hideMark/>
          </w:tcPr>
          <w:p w14:paraId="5A9F197C" w14:textId="77777777" w:rsidR="00C7746D" w:rsidRPr="00D5629E" w:rsidRDefault="00C7746D" w:rsidP="00D5629E">
            <w:pPr>
              <w:pStyle w:val="TableText"/>
            </w:pPr>
            <w:r w:rsidRPr="00D5629E">
              <w:t>507,219</w:t>
            </w:r>
          </w:p>
        </w:tc>
        <w:tc>
          <w:tcPr>
            <w:tcW w:w="1170" w:type="dxa"/>
            <w:shd w:val="clear" w:color="auto" w:fill="auto"/>
            <w:noWrap/>
            <w:vAlign w:val="center"/>
            <w:hideMark/>
          </w:tcPr>
          <w:p w14:paraId="24A18323" w14:textId="77777777" w:rsidR="00C7746D" w:rsidRPr="00D5629E" w:rsidRDefault="00C7746D" w:rsidP="00D5629E">
            <w:pPr>
              <w:pStyle w:val="TableText"/>
            </w:pPr>
            <w:r w:rsidRPr="00D5629E">
              <w:t>554,668</w:t>
            </w:r>
          </w:p>
        </w:tc>
        <w:tc>
          <w:tcPr>
            <w:tcW w:w="1170" w:type="dxa"/>
            <w:shd w:val="clear" w:color="auto" w:fill="auto"/>
            <w:noWrap/>
            <w:vAlign w:val="center"/>
            <w:hideMark/>
          </w:tcPr>
          <w:p w14:paraId="6330AE6E" w14:textId="77777777" w:rsidR="00C7746D" w:rsidRPr="00D5629E" w:rsidRDefault="00C7746D" w:rsidP="00D5629E">
            <w:pPr>
              <w:pStyle w:val="TableText"/>
            </w:pPr>
            <w:r w:rsidRPr="00D5629E">
              <w:t>593,854</w:t>
            </w:r>
          </w:p>
        </w:tc>
        <w:tc>
          <w:tcPr>
            <w:tcW w:w="1170" w:type="dxa"/>
            <w:shd w:val="clear" w:color="auto" w:fill="auto"/>
            <w:noWrap/>
            <w:vAlign w:val="center"/>
            <w:hideMark/>
          </w:tcPr>
          <w:p w14:paraId="5DA08E32" w14:textId="77777777" w:rsidR="00C7746D" w:rsidRPr="00D5629E" w:rsidRDefault="00C7746D" w:rsidP="00D5629E">
            <w:pPr>
              <w:pStyle w:val="TableText"/>
            </w:pPr>
            <w:r w:rsidRPr="00D5629E">
              <w:t>631,028</w:t>
            </w:r>
          </w:p>
        </w:tc>
        <w:tc>
          <w:tcPr>
            <w:tcW w:w="1440" w:type="dxa"/>
            <w:shd w:val="clear" w:color="auto" w:fill="auto"/>
            <w:noWrap/>
            <w:vAlign w:val="center"/>
            <w:hideMark/>
          </w:tcPr>
          <w:p w14:paraId="737C0501" w14:textId="77777777" w:rsidR="00C7746D" w:rsidRPr="00D5629E" w:rsidRDefault="00C7746D" w:rsidP="00D5629E">
            <w:pPr>
              <w:pStyle w:val="TableText"/>
            </w:pPr>
            <w:r w:rsidRPr="00D5629E">
              <w:t>43%</w:t>
            </w:r>
          </w:p>
        </w:tc>
      </w:tr>
      <w:tr w:rsidR="00C7746D" w:rsidRPr="00465332" w14:paraId="519C0339" w14:textId="77777777" w:rsidTr="00D114C8">
        <w:trPr>
          <w:trHeight w:val="20"/>
          <w:jc w:val="center"/>
        </w:trPr>
        <w:tc>
          <w:tcPr>
            <w:tcW w:w="1866" w:type="dxa"/>
            <w:shd w:val="clear" w:color="auto" w:fill="auto"/>
            <w:noWrap/>
            <w:vAlign w:val="bottom"/>
            <w:hideMark/>
          </w:tcPr>
          <w:p w14:paraId="5709252B" w14:textId="77777777" w:rsidR="00C7746D" w:rsidRPr="00D5629E" w:rsidRDefault="00C7746D" w:rsidP="00D5629E">
            <w:pPr>
              <w:pStyle w:val="TableTextL"/>
            </w:pPr>
            <w:r w:rsidRPr="00D5629E">
              <w:t>Sonoma County</w:t>
            </w:r>
          </w:p>
        </w:tc>
        <w:tc>
          <w:tcPr>
            <w:tcW w:w="924" w:type="dxa"/>
            <w:shd w:val="clear" w:color="auto" w:fill="auto"/>
            <w:noWrap/>
            <w:vAlign w:val="center"/>
            <w:hideMark/>
          </w:tcPr>
          <w:p w14:paraId="14E3B7D1" w14:textId="77777777" w:rsidR="00C7746D" w:rsidRPr="00D5629E" w:rsidRDefault="00C7746D" w:rsidP="00D5629E">
            <w:pPr>
              <w:pStyle w:val="TableText"/>
            </w:pPr>
            <w:r w:rsidRPr="00D5629E">
              <w:t>503,332</w:t>
            </w:r>
          </w:p>
        </w:tc>
        <w:tc>
          <w:tcPr>
            <w:tcW w:w="1170" w:type="dxa"/>
            <w:shd w:val="clear" w:color="auto" w:fill="auto"/>
            <w:noWrap/>
            <w:vAlign w:val="center"/>
            <w:hideMark/>
          </w:tcPr>
          <w:p w14:paraId="7F0F948E" w14:textId="77777777" w:rsidR="00C7746D" w:rsidRPr="00D5629E" w:rsidRDefault="00C7746D" w:rsidP="00D5629E">
            <w:pPr>
              <w:pStyle w:val="TableText"/>
            </w:pPr>
            <w:r w:rsidRPr="00D5629E">
              <w:t>515,486</w:t>
            </w:r>
          </w:p>
        </w:tc>
        <w:tc>
          <w:tcPr>
            <w:tcW w:w="1170" w:type="dxa"/>
            <w:shd w:val="clear" w:color="auto" w:fill="auto"/>
            <w:noWrap/>
            <w:vAlign w:val="center"/>
            <w:hideMark/>
          </w:tcPr>
          <w:p w14:paraId="13C2FE4E" w14:textId="77777777" w:rsidR="00C7746D" w:rsidRPr="00D5629E" w:rsidRDefault="00C7746D" w:rsidP="00D5629E">
            <w:pPr>
              <w:pStyle w:val="TableText"/>
            </w:pPr>
            <w:r w:rsidRPr="00D5629E">
              <w:t>554,694</w:t>
            </w:r>
          </w:p>
        </w:tc>
        <w:tc>
          <w:tcPr>
            <w:tcW w:w="1170" w:type="dxa"/>
            <w:shd w:val="clear" w:color="auto" w:fill="auto"/>
            <w:noWrap/>
            <w:vAlign w:val="center"/>
            <w:hideMark/>
          </w:tcPr>
          <w:p w14:paraId="3AA2AD69" w14:textId="77777777" w:rsidR="00C7746D" w:rsidRPr="00D5629E" w:rsidRDefault="00C7746D" w:rsidP="00D5629E">
            <w:pPr>
              <w:pStyle w:val="TableText"/>
            </w:pPr>
            <w:r w:rsidRPr="00D5629E">
              <w:t>583,517</w:t>
            </w:r>
          </w:p>
        </w:tc>
        <w:tc>
          <w:tcPr>
            <w:tcW w:w="1170" w:type="dxa"/>
            <w:shd w:val="clear" w:color="auto" w:fill="auto"/>
            <w:noWrap/>
            <w:vAlign w:val="center"/>
            <w:hideMark/>
          </w:tcPr>
          <w:p w14:paraId="0DE35C08" w14:textId="77777777" w:rsidR="00C7746D" w:rsidRPr="00D5629E" w:rsidRDefault="00C7746D" w:rsidP="00D5629E">
            <w:pPr>
              <w:pStyle w:val="TableText"/>
            </w:pPr>
            <w:r w:rsidRPr="00D5629E">
              <w:t>597,749</w:t>
            </w:r>
          </w:p>
        </w:tc>
        <w:tc>
          <w:tcPr>
            <w:tcW w:w="1170" w:type="dxa"/>
            <w:shd w:val="clear" w:color="auto" w:fill="auto"/>
            <w:noWrap/>
            <w:vAlign w:val="center"/>
            <w:hideMark/>
          </w:tcPr>
          <w:p w14:paraId="664E4BF0" w14:textId="77777777" w:rsidR="00C7746D" w:rsidRPr="00D5629E" w:rsidRDefault="00C7746D" w:rsidP="00D5629E">
            <w:pPr>
              <w:pStyle w:val="TableText"/>
            </w:pPr>
            <w:r w:rsidRPr="00D5629E">
              <w:t>608,250</w:t>
            </w:r>
          </w:p>
        </w:tc>
        <w:tc>
          <w:tcPr>
            <w:tcW w:w="1440" w:type="dxa"/>
            <w:shd w:val="clear" w:color="auto" w:fill="auto"/>
            <w:noWrap/>
            <w:vAlign w:val="center"/>
            <w:hideMark/>
          </w:tcPr>
          <w:p w14:paraId="64C41665" w14:textId="77777777" w:rsidR="00C7746D" w:rsidRPr="00D5629E" w:rsidRDefault="00C7746D" w:rsidP="00D5629E">
            <w:pPr>
              <w:pStyle w:val="TableText"/>
            </w:pPr>
            <w:r w:rsidRPr="00D5629E">
              <w:t>21%</w:t>
            </w:r>
          </w:p>
        </w:tc>
      </w:tr>
      <w:tr w:rsidR="00C7746D" w:rsidRPr="00465332" w14:paraId="5579103B" w14:textId="77777777" w:rsidTr="00D114C8">
        <w:trPr>
          <w:trHeight w:val="20"/>
          <w:jc w:val="center"/>
        </w:trPr>
        <w:tc>
          <w:tcPr>
            <w:tcW w:w="1866" w:type="dxa"/>
            <w:shd w:val="clear" w:color="auto" w:fill="auto"/>
            <w:noWrap/>
            <w:vAlign w:val="bottom"/>
            <w:hideMark/>
          </w:tcPr>
          <w:p w14:paraId="69347613" w14:textId="77777777" w:rsidR="00C7746D" w:rsidRPr="00D5629E" w:rsidRDefault="00C7746D" w:rsidP="00D5629E">
            <w:pPr>
              <w:pStyle w:val="TableTextL"/>
            </w:pPr>
            <w:r w:rsidRPr="00D5629E">
              <w:t>Stanislaus County</w:t>
            </w:r>
          </w:p>
        </w:tc>
        <w:tc>
          <w:tcPr>
            <w:tcW w:w="924" w:type="dxa"/>
            <w:shd w:val="clear" w:color="auto" w:fill="auto"/>
            <w:noWrap/>
            <w:vAlign w:val="center"/>
            <w:hideMark/>
          </w:tcPr>
          <w:p w14:paraId="1CA2A4F9" w14:textId="77777777" w:rsidR="00C7746D" w:rsidRPr="00D5629E" w:rsidRDefault="00C7746D" w:rsidP="00D5629E">
            <w:pPr>
              <w:pStyle w:val="TableText"/>
            </w:pPr>
            <w:r w:rsidRPr="00D5629E">
              <w:t>555,624</w:t>
            </w:r>
          </w:p>
        </w:tc>
        <w:tc>
          <w:tcPr>
            <w:tcW w:w="1170" w:type="dxa"/>
            <w:shd w:val="clear" w:color="auto" w:fill="auto"/>
            <w:noWrap/>
            <w:vAlign w:val="center"/>
            <w:hideMark/>
          </w:tcPr>
          <w:p w14:paraId="269FB7C7" w14:textId="77777777" w:rsidR="00C7746D" w:rsidRPr="00D5629E" w:rsidRDefault="00C7746D" w:rsidP="00D5629E">
            <w:pPr>
              <w:pStyle w:val="TableText"/>
            </w:pPr>
            <w:r w:rsidRPr="00D5629E">
              <w:t>572,000</w:t>
            </w:r>
          </w:p>
        </w:tc>
        <w:tc>
          <w:tcPr>
            <w:tcW w:w="1170" w:type="dxa"/>
            <w:shd w:val="clear" w:color="auto" w:fill="auto"/>
            <w:noWrap/>
            <w:vAlign w:val="center"/>
            <w:hideMark/>
          </w:tcPr>
          <w:p w14:paraId="585A2688" w14:textId="77777777" w:rsidR="00C7746D" w:rsidRPr="00D5629E" w:rsidRDefault="00C7746D" w:rsidP="00D5629E">
            <w:pPr>
              <w:pStyle w:val="TableText"/>
            </w:pPr>
            <w:r w:rsidRPr="00D5629E">
              <w:t>638,840</w:t>
            </w:r>
          </w:p>
        </w:tc>
        <w:tc>
          <w:tcPr>
            <w:tcW w:w="1170" w:type="dxa"/>
            <w:shd w:val="clear" w:color="auto" w:fill="auto"/>
            <w:noWrap/>
            <w:vAlign w:val="center"/>
            <w:hideMark/>
          </w:tcPr>
          <w:p w14:paraId="15851610" w14:textId="77777777" w:rsidR="00C7746D" w:rsidRPr="00D5629E" w:rsidRDefault="00C7746D" w:rsidP="00D5629E">
            <w:pPr>
              <w:pStyle w:val="TableText"/>
            </w:pPr>
            <w:r w:rsidRPr="00D5629E">
              <w:t>699,022</w:t>
            </w:r>
          </w:p>
        </w:tc>
        <w:tc>
          <w:tcPr>
            <w:tcW w:w="1170" w:type="dxa"/>
            <w:shd w:val="clear" w:color="auto" w:fill="auto"/>
            <w:noWrap/>
            <w:vAlign w:val="center"/>
            <w:hideMark/>
          </w:tcPr>
          <w:p w14:paraId="2DAC1172" w14:textId="77777777" w:rsidR="00C7746D" w:rsidRPr="00D5629E" w:rsidRDefault="00C7746D" w:rsidP="00D5629E">
            <w:pPr>
              <w:pStyle w:val="TableText"/>
            </w:pPr>
            <w:r w:rsidRPr="00D5629E">
              <w:t>747,188</w:t>
            </w:r>
          </w:p>
        </w:tc>
        <w:tc>
          <w:tcPr>
            <w:tcW w:w="1170" w:type="dxa"/>
            <w:shd w:val="clear" w:color="auto" w:fill="auto"/>
            <w:noWrap/>
            <w:vAlign w:val="center"/>
            <w:hideMark/>
          </w:tcPr>
          <w:p w14:paraId="3D260DA4" w14:textId="77777777" w:rsidR="00C7746D" w:rsidRPr="00D5629E" w:rsidRDefault="00C7746D" w:rsidP="00D5629E">
            <w:pPr>
              <w:pStyle w:val="TableText"/>
            </w:pPr>
            <w:r w:rsidRPr="00D5629E">
              <w:t>787,145</w:t>
            </w:r>
          </w:p>
        </w:tc>
        <w:tc>
          <w:tcPr>
            <w:tcW w:w="1440" w:type="dxa"/>
            <w:shd w:val="clear" w:color="auto" w:fill="auto"/>
            <w:noWrap/>
            <w:vAlign w:val="center"/>
            <w:hideMark/>
          </w:tcPr>
          <w:p w14:paraId="77E63480" w14:textId="77777777" w:rsidR="00C7746D" w:rsidRPr="00D5629E" w:rsidRDefault="00C7746D" w:rsidP="00D5629E">
            <w:pPr>
              <w:pStyle w:val="TableText"/>
            </w:pPr>
            <w:r w:rsidRPr="00D5629E">
              <w:t>42%</w:t>
            </w:r>
          </w:p>
        </w:tc>
      </w:tr>
      <w:tr w:rsidR="00C7746D" w:rsidRPr="00465332" w14:paraId="5C46C8F3" w14:textId="77777777" w:rsidTr="00D114C8">
        <w:trPr>
          <w:trHeight w:val="20"/>
          <w:jc w:val="center"/>
        </w:trPr>
        <w:tc>
          <w:tcPr>
            <w:tcW w:w="1866" w:type="dxa"/>
            <w:shd w:val="clear" w:color="auto" w:fill="auto"/>
            <w:noWrap/>
            <w:vAlign w:val="bottom"/>
            <w:hideMark/>
          </w:tcPr>
          <w:p w14:paraId="5905F269" w14:textId="77777777" w:rsidR="00C7746D" w:rsidRPr="00D5629E" w:rsidRDefault="00C7746D" w:rsidP="00D5629E">
            <w:pPr>
              <w:pStyle w:val="TableTextL"/>
            </w:pPr>
            <w:r w:rsidRPr="00D5629E">
              <w:t>Tehama County</w:t>
            </w:r>
          </w:p>
        </w:tc>
        <w:tc>
          <w:tcPr>
            <w:tcW w:w="924" w:type="dxa"/>
            <w:shd w:val="clear" w:color="auto" w:fill="auto"/>
            <w:noWrap/>
            <w:vAlign w:val="center"/>
            <w:hideMark/>
          </w:tcPr>
          <w:p w14:paraId="543199E8" w14:textId="77777777" w:rsidR="00C7746D" w:rsidRPr="00D5629E" w:rsidRDefault="00C7746D" w:rsidP="00D5629E">
            <w:pPr>
              <w:pStyle w:val="TableText"/>
            </w:pPr>
            <w:r w:rsidRPr="00D5629E">
              <w:t>64,039</w:t>
            </w:r>
          </w:p>
        </w:tc>
        <w:tc>
          <w:tcPr>
            <w:tcW w:w="1170" w:type="dxa"/>
            <w:shd w:val="clear" w:color="auto" w:fill="auto"/>
            <w:noWrap/>
            <w:vAlign w:val="center"/>
            <w:hideMark/>
          </w:tcPr>
          <w:p w14:paraId="0DEA4B7A" w14:textId="77777777" w:rsidR="00C7746D" w:rsidRPr="00D5629E" w:rsidRDefault="00C7746D" w:rsidP="00D5629E">
            <w:pPr>
              <w:pStyle w:val="TableText"/>
            </w:pPr>
            <w:r w:rsidRPr="00D5629E">
              <w:t>65,119</w:t>
            </w:r>
          </w:p>
        </w:tc>
        <w:tc>
          <w:tcPr>
            <w:tcW w:w="1170" w:type="dxa"/>
            <w:shd w:val="clear" w:color="auto" w:fill="auto"/>
            <w:noWrap/>
            <w:vAlign w:val="center"/>
            <w:hideMark/>
          </w:tcPr>
          <w:p w14:paraId="705E33E6" w14:textId="77777777" w:rsidR="00C7746D" w:rsidRPr="00D5629E" w:rsidRDefault="00C7746D" w:rsidP="00D5629E">
            <w:pPr>
              <w:pStyle w:val="TableText"/>
            </w:pPr>
            <w:r w:rsidRPr="00D5629E">
              <w:t>68,985</w:t>
            </w:r>
          </w:p>
        </w:tc>
        <w:tc>
          <w:tcPr>
            <w:tcW w:w="1170" w:type="dxa"/>
            <w:shd w:val="clear" w:color="auto" w:fill="auto"/>
            <w:noWrap/>
            <w:vAlign w:val="center"/>
            <w:hideMark/>
          </w:tcPr>
          <w:p w14:paraId="68FA01AD" w14:textId="77777777" w:rsidR="00C7746D" w:rsidRPr="00D5629E" w:rsidRDefault="00C7746D" w:rsidP="00D5629E">
            <w:pPr>
              <w:pStyle w:val="TableText"/>
            </w:pPr>
            <w:r w:rsidRPr="00D5629E">
              <w:t>72,840</w:t>
            </w:r>
          </w:p>
        </w:tc>
        <w:tc>
          <w:tcPr>
            <w:tcW w:w="1170" w:type="dxa"/>
            <w:shd w:val="clear" w:color="auto" w:fill="auto"/>
            <w:noWrap/>
            <w:vAlign w:val="center"/>
            <w:hideMark/>
          </w:tcPr>
          <w:p w14:paraId="5A1F4541" w14:textId="77777777" w:rsidR="00C7746D" w:rsidRPr="00D5629E" w:rsidRDefault="00C7746D" w:rsidP="00D5629E">
            <w:pPr>
              <w:pStyle w:val="TableText"/>
            </w:pPr>
            <w:r w:rsidRPr="00D5629E">
              <w:t>76,464</w:t>
            </w:r>
          </w:p>
        </w:tc>
        <w:tc>
          <w:tcPr>
            <w:tcW w:w="1170" w:type="dxa"/>
            <w:shd w:val="clear" w:color="auto" w:fill="auto"/>
            <w:noWrap/>
            <w:vAlign w:val="center"/>
            <w:hideMark/>
          </w:tcPr>
          <w:p w14:paraId="7CB0AEAB" w14:textId="77777777" w:rsidR="00C7746D" w:rsidRPr="00D5629E" w:rsidRDefault="00C7746D" w:rsidP="00D5629E">
            <w:pPr>
              <w:pStyle w:val="TableText"/>
            </w:pPr>
            <w:r w:rsidRPr="00D5629E">
              <w:t>80,732</w:t>
            </w:r>
          </w:p>
        </w:tc>
        <w:tc>
          <w:tcPr>
            <w:tcW w:w="1440" w:type="dxa"/>
            <w:shd w:val="clear" w:color="auto" w:fill="auto"/>
            <w:noWrap/>
            <w:vAlign w:val="center"/>
            <w:hideMark/>
          </w:tcPr>
          <w:p w14:paraId="2129D115" w14:textId="77777777" w:rsidR="00C7746D" w:rsidRPr="00D5629E" w:rsidRDefault="00C7746D" w:rsidP="00D5629E">
            <w:pPr>
              <w:pStyle w:val="TableText"/>
            </w:pPr>
            <w:r w:rsidRPr="00D5629E">
              <w:t>26%</w:t>
            </w:r>
          </w:p>
        </w:tc>
      </w:tr>
      <w:tr w:rsidR="00C7746D" w:rsidRPr="00465332" w14:paraId="35F7494C" w14:textId="77777777" w:rsidTr="00D114C8">
        <w:trPr>
          <w:trHeight w:val="20"/>
          <w:jc w:val="center"/>
        </w:trPr>
        <w:tc>
          <w:tcPr>
            <w:tcW w:w="1866" w:type="dxa"/>
            <w:shd w:val="clear" w:color="auto" w:fill="auto"/>
            <w:noWrap/>
            <w:vAlign w:val="bottom"/>
            <w:hideMark/>
          </w:tcPr>
          <w:p w14:paraId="22980691" w14:textId="77777777" w:rsidR="00C7746D" w:rsidRPr="00D5629E" w:rsidRDefault="00C7746D" w:rsidP="00D5629E">
            <w:pPr>
              <w:pStyle w:val="TableTextL"/>
            </w:pPr>
            <w:r w:rsidRPr="00D5629E">
              <w:t>Trinity County</w:t>
            </w:r>
          </w:p>
        </w:tc>
        <w:tc>
          <w:tcPr>
            <w:tcW w:w="924" w:type="dxa"/>
            <w:shd w:val="clear" w:color="auto" w:fill="auto"/>
            <w:noWrap/>
            <w:vAlign w:val="center"/>
            <w:hideMark/>
          </w:tcPr>
          <w:p w14:paraId="3D40BEEB" w14:textId="77777777" w:rsidR="00C7746D" w:rsidRPr="00D5629E" w:rsidRDefault="00C7746D" w:rsidP="00D5629E">
            <w:pPr>
              <w:pStyle w:val="TableText"/>
            </w:pPr>
            <w:r w:rsidRPr="00D5629E">
              <w:t>13,635</w:t>
            </w:r>
          </w:p>
        </w:tc>
        <w:tc>
          <w:tcPr>
            <w:tcW w:w="1170" w:type="dxa"/>
            <w:shd w:val="clear" w:color="auto" w:fill="auto"/>
            <w:noWrap/>
            <w:vAlign w:val="center"/>
            <w:hideMark/>
          </w:tcPr>
          <w:p w14:paraId="77E919D4" w14:textId="77777777" w:rsidR="00C7746D" w:rsidRPr="00D5629E" w:rsidRDefault="00C7746D" w:rsidP="00D5629E">
            <w:pPr>
              <w:pStyle w:val="TableText"/>
            </w:pPr>
            <w:r w:rsidRPr="00D5629E">
              <w:t>13,389</w:t>
            </w:r>
          </w:p>
        </w:tc>
        <w:tc>
          <w:tcPr>
            <w:tcW w:w="1170" w:type="dxa"/>
            <w:shd w:val="clear" w:color="auto" w:fill="auto"/>
            <w:noWrap/>
            <w:vAlign w:val="center"/>
            <w:hideMark/>
          </w:tcPr>
          <w:p w14:paraId="4490DFC3" w14:textId="77777777" w:rsidR="00C7746D" w:rsidRPr="00D5629E" w:rsidRDefault="00C7746D" w:rsidP="00D5629E">
            <w:pPr>
              <w:pStyle w:val="TableText"/>
            </w:pPr>
            <w:r w:rsidRPr="00D5629E">
              <w:t>13,322</w:t>
            </w:r>
          </w:p>
        </w:tc>
        <w:tc>
          <w:tcPr>
            <w:tcW w:w="1170" w:type="dxa"/>
            <w:shd w:val="clear" w:color="auto" w:fill="auto"/>
            <w:noWrap/>
            <w:vAlign w:val="center"/>
            <w:hideMark/>
          </w:tcPr>
          <w:p w14:paraId="04E51E86" w14:textId="77777777" w:rsidR="00C7746D" w:rsidRPr="00D5629E" w:rsidRDefault="00C7746D" w:rsidP="00D5629E">
            <w:pPr>
              <w:pStyle w:val="TableText"/>
            </w:pPr>
            <w:r w:rsidRPr="00D5629E">
              <w:t>13,232</w:t>
            </w:r>
          </w:p>
        </w:tc>
        <w:tc>
          <w:tcPr>
            <w:tcW w:w="1170" w:type="dxa"/>
            <w:shd w:val="clear" w:color="auto" w:fill="auto"/>
            <w:noWrap/>
            <w:vAlign w:val="center"/>
            <w:hideMark/>
          </w:tcPr>
          <w:p w14:paraId="64D0B69F" w14:textId="77777777" w:rsidR="00C7746D" w:rsidRPr="00D5629E" w:rsidRDefault="00C7746D" w:rsidP="00D5629E">
            <w:pPr>
              <w:pStyle w:val="TableText"/>
            </w:pPr>
            <w:r w:rsidRPr="00D5629E">
              <w:t>13,319</w:t>
            </w:r>
          </w:p>
        </w:tc>
        <w:tc>
          <w:tcPr>
            <w:tcW w:w="1170" w:type="dxa"/>
            <w:shd w:val="clear" w:color="auto" w:fill="auto"/>
            <w:noWrap/>
            <w:vAlign w:val="center"/>
            <w:hideMark/>
          </w:tcPr>
          <w:p w14:paraId="35FAD797" w14:textId="77777777" w:rsidR="00C7746D" w:rsidRPr="00D5629E" w:rsidRDefault="00C7746D" w:rsidP="00D5629E">
            <w:pPr>
              <w:pStyle w:val="TableText"/>
            </w:pPr>
            <w:r w:rsidRPr="00D5629E">
              <w:t>14,151</w:t>
            </w:r>
          </w:p>
        </w:tc>
        <w:tc>
          <w:tcPr>
            <w:tcW w:w="1440" w:type="dxa"/>
            <w:shd w:val="clear" w:color="auto" w:fill="auto"/>
            <w:noWrap/>
            <w:vAlign w:val="center"/>
            <w:hideMark/>
          </w:tcPr>
          <w:p w14:paraId="732D8FEC" w14:textId="77777777" w:rsidR="00C7746D" w:rsidRPr="00D5629E" w:rsidRDefault="00C7746D" w:rsidP="00D5629E">
            <w:pPr>
              <w:pStyle w:val="TableText"/>
            </w:pPr>
            <w:r w:rsidRPr="00D5629E">
              <w:t>4%</w:t>
            </w:r>
          </w:p>
        </w:tc>
      </w:tr>
      <w:tr w:rsidR="00C7746D" w:rsidRPr="00465332" w14:paraId="156F0A14" w14:textId="77777777" w:rsidTr="00D114C8">
        <w:trPr>
          <w:trHeight w:val="20"/>
          <w:jc w:val="center"/>
        </w:trPr>
        <w:tc>
          <w:tcPr>
            <w:tcW w:w="1866" w:type="dxa"/>
            <w:shd w:val="clear" w:color="auto" w:fill="auto"/>
            <w:noWrap/>
            <w:vAlign w:val="bottom"/>
            <w:hideMark/>
          </w:tcPr>
          <w:p w14:paraId="6AC3A620" w14:textId="77777777" w:rsidR="00C7746D" w:rsidRPr="00D5629E" w:rsidRDefault="00C7746D" w:rsidP="00D5629E">
            <w:pPr>
              <w:pStyle w:val="TableTextL"/>
            </w:pPr>
            <w:r w:rsidRPr="00D5629E">
              <w:t>Tulare County</w:t>
            </w:r>
          </w:p>
        </w:tc>
        <w:tc>
          <w:tcPr>
            <w:tcW w:w="924" w:type="dxa"/>
            <w:shd w:val="clear" w:color="auto" w:fill="auto"/>
            <w:noWrap/>
            <w:vAlign w:val="center"/>
            <w:hideMark/>
          </w:tcPr>
          <w:p w14:paraId="6EC8F855" w14:textId="77777777" w:rsidR="00C7746D" w:rsidRPr="00D5629E" w:rsidRDefault="00C7746D" w:rsidP="00D5629E">
            <w:pPr>
              <w:pStyle w:val="TableText"/>
            </w:pPr>
            <w:r w:rsidRPr="00D5629E">
              <w:t>475,834</w:t>
            </w:r>
          </w:p>
        </w:tc>
        <w:tc>
          <w:tcPr>
            <w:tcW w:w="1170" w:type="dxa"/>
            <w:shd w:val="clear" w:color="auto" w:fill="auto"/>
            <w:noWrap/>
            <w:vAlign w:val="center"/>
            <w:hideMark/>
          </w:tcPr>
          <w:p w14:paraId="2EEBC57F" w14:textId="77777777" w:rsidR="00C7746D" w:rsidRPr="00D5629E" w:rsidRDefault="00C7746D" w:rsidP="00D5629E">
            <w:pPr>
              <w:pStyle w:val="TableText"/>
            </w:pPr>
            <w:r w:rsidRPr="00D5629E">
              <w:t>487,733</w:t>
            </w:r>
          </w:p>
        </w:tc>
        <w:tc>
          <w:tcPr>
            <w:tcW w:w="1170" w:type="dxa"/>
            <w:shd w:val="clear" w:color="auto" w:fill="auto"/>
            <w:noWrap/>
            <w:vAlign w:val="center"/>
            <w:hideMark/>
          </w:tcPr>
          <w:p w14:paraId="26047347" w14:textId="77777777" w:rsidR="00C7746D" w:rsidRPr="00D5629E" w:rsidRDefault="00C7746D" w:rsidP="00D5629E">
            <w:pPr>
              <w:pStyle w:val="TableText"/>
            </w:pPr>
            <w:r w:rsidRPr="00D5629E">
              <w:t>540,580</w:t>
            </w:r>
          </w:p>
        </w:tc>
        <w:tc>
          <w:tcPr>
            <w:tcW w:w="1170" w:type="dxa"/>
            <w:shd w:val="clear" w:color="auto" w:fill="auto"/>
            <w:noWrap/>
            <w:vAlign w:val="center"/>
            <w:hideMark/>
          </w:tcPr>
          <w:p w14:paraId="13C731FA" w14:textId="77777777" w:rsidR="00C7746D" w:rsidRPr="00D5629E" w:rsidRDefault="00C7746D" w:rsidP="00D5629E">
            <w:pPr>
              <w:pStyle w:val="TableText"/>
            </w:pPr>
            <w:r w:rsidRPr="00D5629E">
              <w:t>593,788</w:t>
            </w:r>
          </w:p>
        </w:tc>
        <w:tc>
          <w:tcPr>
            <w:tcW w:w="1170" w:type="dxa"/>
            <w:shd w:val="clear" w:color="auto" w:fill="auto"/>
            <w:noWrap/>
            <w:vAlign w:val="center"/>
            <w:hideMark/>
          </w:tcPr>
          <w:p w14:paraId="5BD50CB9" w14:textId="77777777" w:rsidR="00C7746D" w:rsidRPr="00D5629E" w:rsidRDefault="00C7746D" w:rsidP="00D5629E">
            <w:pPr>
              <w:pStyle w:val="TableText"/>
            </w:pPr>
            <w:r w:rsidRPr="00D5629E">
              <w:t>638,917</w:t>
            </w:r>
          </w:p>
        </w:tc>
        <w:tc>
          <w:tcPr>
            <w:tcW w:w="1170" w:type="dxa"/>
            <w:shd w:val="clear" w:color="auto" w:fill="auto"/>
            <w:noWrap/>
            <w:vAlign w:val="center"/>
            <w:hideMark/>
          </w:tcPr>
          <w:p w14:paraId="17560B4C" w14:textId="77777777" w:rsidR="00C7746D" w:rsidRPr="00D5629E" w:rsidRDefault="00C7746D" w:rsidP="00D5629E">
            <w:pPr>
              <w:pStyle w:val="TableText"/>
            </w:pPr>
            <w:r w:rsidRPr="00D5629E">
              <w:t>678,607</w:t>
            </w:r>
          </w:p>
        </w:tc>
        <w:tc>
          <w:tcPr>
            <w:tcW w:w="1440" w:type="dxa"/>
            <w:shd w:val="clear" w:color="auto" w:fill="auto"/>
            <w:noWrap/>
            <w:vAlign w:val="center"/>
            <w:hideMark/>
          </w:tcPr>
          <w:p w14:paraId="5AFC2046" w14:textId="77777777" w:rsidR="00C7746D" w:rsidRPr="00D5629E" w:rsidRDefault="00C7746D" w:rsidP="00D5629E">
            <w:pPr>
              <w:pStyle w:val="TableText"/>
            </w:pPr>
            <w:r w:rsidRPr="00D5629E">
              <w:t>43%</w:t>
            </w:r>
          </w:p>
        </w:tc>
      </w:tr>
      <w:tr w:rsidR="00C7746D" w:rsidRPr="00465332" w14:paraId="215684B3" w14:textId="77777777" w:rsidTr="00D114C8">
        <w:trPr>
          <w:trHeight w:val="20"/>
          <w:jc w:val="center"/>
        </w:trPr>
        <w:tc>
          <w:tcPr>
            <w:tcW w:w="1866" w:type="dxa"/>
            <w:shd w:val="clear" w:color="auto" w:fill="auto"/>
            <w:noWrap/>
            <w:vAlign w:val="bottom"/>
            <w:hideMark/>
          </w:tcPr>
          <w:p w14:paraId="5FE26347" w14:textId="77777777" w:rsidR="00C7746D" w:rsidRPr="00D5629E" w:rsidRDefault="00C7746D" w:rsidP="00D5629E">
            <w:pPr>
              <w:pStyle w:val="TableTextL"/>
            </w:pPr>
            <w:r w:rsidRPr="00D5629E">
              <w:t>Tuolumne County</w:t>
            </w:r>
          </w:p>
        </w:tc>
        <w:tc>
          <w:tcPr>
            <w:tcW w:w="924" w:type="dxa"/>
            <w:shd w:val="clear" w:color="auto" w:fill="auto"/>
            <w:noWrap/>
            <w:vAlign w:val="center"/>
            <w:hideMark/>
          </w:tcPr>
          <w:p w14:paraId="0B07759C" w14:textId="77777777" w:rsidR="00C7746D" w:rsidRPr="00D5629E" w:rsidRDefault="00C7746D" w:rsidP="00D5629E">
            <w:pPr>
              <w:pStyle w:val="TableText"/>
            </w:pPr>
            <w:r w:rsidRPr="00D5629E">
              <w:t>54,740</w:t>
            </w:r>
          </w:p>
        </w:tc>
        <w:tc>
          <w:tcPr>
            <w:tcW w:w="1170" w:type="dxa"/>
            <w:shd w:val="clear" w:color="auto" w:fill="auto"/>
            <w:noWrap/>
            <w:vAlign w:val="center"/>
            <w:hideMark/>
          </w:tcPr>
          <w:p w14:paraId="38379AD8" w14:textId="77777777" w:rsidR="00C7746D" w:rsidRPr="00D5629E" w:rsidRDefault="00C7746D" w:rsidP="00D5629E">
            <w:pPr>
              <w:pStyle w:val="TableText"/>
            </w:pPr>
            <w:r w:rsidRPr="00D5629E">
              <w:t>53,976</w:t>
            </w:r>
          </w:p>
        </w:tc>
        <w:tc>
          <w:tcPr>
            <w:tcW w:w="1170" w:type="dxa"/>
            <w:shd w:val="clear" w:color="auto" w:fill="auto"/>
            <w:noWrap/>
            <w:vAlign w:val="center"/>
            <w:hideMark/>
          </w:tcPr>
          <w:p w14:paraId="483C1AA6" w14:textId="77777777" w:rsidR="00C7746D" w:rsidRPr="00D5629E" w:rsidRDefault="00C7746D" w:rsidP="00D5629E">
            <w:pPr>
              <w:pStyle w:val="TableText"/>
            </w:pPr>
            <w:r w:rsidRPr="00D5629E">
              <w:t>54,801</w:t>
            </w:r>
          </w:p>
        </w:tc>
        <w:tc>
          <w:tcPr>
            <w:tcW w:w="1170" w:type="dxa"/>
            <w:shd w:val="clear" w:color="auto" w:fill="auto"/>
            <w:noWrap/>
            <w:vAlign w:val="center"/>
            <w:hideMark/>
          </w:tcPr>
          <w:p w14:paraId="44D72566" w14:textId="77777777" w:rsidR="00C7746D" w:rsidRPr="00D5629E" w:rsidRDefault="00C7746D" w:rsidP="00D5629E">
            <w:pPr>
              <w:pStyle w:val="TableText"/>
            </w:pPr>
            <w:r w:rsidRPr="00D5629E">
              <w:t>55,400</w:t>
            </w:r>
          </w:p>
        </w:tc>
        <w:tc>
          <w:tcPr>
            <w:tcW w:w="1170" w:type="dxa"/>
            <w:shd w:val="clear" w:color="auto" w:fill="auto"/>
            <w:noWrap/>
            <w:vAlign w:val="center"/>
            <w:hideMark/>
          </w:tcPr>
          <w:p w14:paraId="0CC2A4C2" w14:textId="77777777" w:rsidR="00C7746D" w:rsidRPr="00D5629E" w:rsidRDefault="00C7746D" w:rsidP="00D5629E">
            <w:pPr>
              <w:pStyle w:val="TableText"/>
            </w:pPr>
            <w:r w:rsidRPr="00D5629E">
              <w:t>55,534</w:t>
            </w:r>
          </w:p>
        </w:tc>
        <w:tc>
          <w:tcPr>
            <w:tcW w:w="1170" w:type="dxa"/>
            <w:shd w:val="clear" w:color="auto" w:fill="auto"/>
            <w:noWrap/>
            <w:vAlign w:val="center"/>
            <w:hideMark/>
          </w:tcPr>
          <w:p w14:paraId="22374CC4" w14:textId="77777777" w:rsidR="00C7746D" w:rsidRPr="00D5629E" w:rsidRDefault="00C7746D" w:rsidP="00D5629E">
            <w:pPr>
              <w:pStyle w:val="TableText"/>
            </w:pPr>
            <w:r w:rsidRPr="00D5629E">
              <w:t>56,595</w:t>
            </w:r>
          </w:p>
        </w:tc>
        <w:tc>
          <w:tcPr>
            <w:tcW w:w="1440" w:type="dxa"/>
            <w:shd w:val="clear" w:color="auto" w:fill="auto"/>
            <w:noWrap/>
            <w:vAlign w:val="center"/>
            <w:hideMark/>
          </w:tcPr>
          <w:p w14:paraId="3E88CE13" w14:textId="77777777" w:rsidR="00C7746D" w:rsidRPr="00D5629E" w:rsidRDefault="00C7746D" w:rsidP="00D5629E">
            <w:pPr>
              <w:pStyle w:val="TableText"/>
            </w:pPr>
            <w:r w:rsidRPr="00D5629E">
              <w:t>3%</w:t>
            </w:r>
          </w:p>
        </w:tc>
      </w:tr>
      <w:tr w:rsidR="00C7746D" w:rsidRPr="00465332" w14:paraId="34BEC94E" w14:textId="77777777" w:rsidTr="00D114C8">
        <w:trPr>
          <w:trHeight w:val="20"/>
          <w:jc w:val="center"/>
        </w:trPr>
        <w:tc>
          <w:tcPr>
            <w:tcW w:w="1866" w:type="dxa"/>
            <w:shd w:val="clear" w:color="auto" w:fill="auto"/>
            <w:noWrap/>
            <w:vAlign w:val="bottom"/>
            <w:hideMark/>
          </w:tcPr>
          <w:p w14:paraId="0F2D79AF" w14:textId="77777777" w:rsidR="00C7746D" w:rsidRPr="00D5629E" w:rsidRDefault="00C7746D" w:rsidP="00D5629E">
            <w:pPr>
              <w:pStyle w:val="TableTextL"/>
            </w:pPr>
            <w:r w:rsidRPr="00D5629E">
              <w:t>Ventura County</w:t>
            </w:r>
          </w:p>
        </w:tc>
        <w:tc>
          <w:tcPr>
            <w:tcW w:w="924" w:type="dxa"/>
            <w:shd w:val="clear" w:color="auto" w:fill="auto"/>
            <w:noWrap/>
            <w:vAlign w:val="center"/>
            <w:hideMark/>
          </w:tcPr>
          <w:p w14:paraId="5EA1D9F5" w14:textId="77777777" w:rsidR="00C7746D" w:rsidRPr="00D5629E" w:rsidRDefault="00C7746D" w:rsidP="00D5629E">
            <w:pPr>
              <w:pStyle w:val="TableText"/>
            </w:pPr>
            <w:r w:rsidRPr="00D5629E">
              <w:t>859,073</w:t>
            </w:r>
          </w:p>
        </w:tc>
        <w:tc>
          <w:tcPr>
            <w:tcW w:w="1170" w:type="dxa"/>
            <w:shd w:val="clear" w:color="auto" w:fill="auto"/>
            <w:noWrap/>
            <w:vAlign w:val="center"/>
            <w:hideMark/>
          </w:tcPr>
          <w:p w14:paraId="02336C5E" w14:textId="77777777" w:rsidR="00C7746D" w:rsidRPr="00D5629E" w:rsidRDefault="00C7746D" w:rsidP="00D5629E">
            <w:pPr>
              <w:pStyle w:val="TableText"/>
            </w:pPr>
            <w:r w:rsidRPr="00D5629E">
              <w:t>869,486</w:t>
            </w:r>
          </w:p>
        </w:tc>
        <w:tc>
          <w:tcPr>
            <w:tcW w:w="1170" w:type="dxa"/>
            <w:shd w:val="clear" w:color="auto" w:fill="auto"/>
            <w:noWrap/>
            <w:vAlign w:val="center"/>
            <w:hideMark/>
          </w:tcPr>
          <w:p w14:paraId="09D0F5E5" w14:textId="77777777" w:rsidR="00C7746D" w:rsidRPr="00D5629E" w:rsidRDefault="00C7746D" w:rsidP="00D5629E">
            <w:pPr>
              <w:pStyle w:val="TableText"/>
            </w:pPr>
            <w:r w:rsidRPr="00D5629E">
              <w:t>919,527</w:t>
            </w:r>
          </w:p>
        </w:tc>
        <w:tc>
          <w:tcPr>
            <w:tcW w:w="1170" w:type="dxa"/>
            <w:shd w:val="clear" w:color="auto" w:fill="auto"/>
            <w:noWrap/>
            <w:vAlign w:val="center"/>
            <w:hideMark/>
          </w:tcPr>
          <w:p w14:paraId="3075F7F5" w14:textId="77777777" w:rsidR="00C7746D" w:rsidRPr="00D5629E" w:rsidRDefault="00C7746D" w:rsidP="00D5629E">
            <w:pPr>
              <w:pStyle w:val="TableText"/>
            </w:pPr>
            <w:r w:rsidRPr="00D5629E">
              <w:t>959,354</w:t>
            </w:r>
          </w:p>
        </w:tc>
        <w:tc>
          <w:tcPr>
            <w:tcW w:w="1170" w:type="dxa"/>
            <w:shd w:val="clear" w:color="auto" w:fill="auto"/>
            <w:noWrap/>
            <w:vAlign w:val="center"/>
            <w:hideMark/>
          </w:tcPr>
          <w:p w14:paraId="38B65174" w14:textId="77777777" w:rsidR="00C7746D" w:rsidRPr="00D5629E" w:rsidRDefault="00C7746D" w:rsidP="00D5629E">
            <w:pPr>
              <w:pStyle w:val="TableText"/>
            </w:pPr>
            <w:r w:rsidRPr="00D5629E">
              <w:t>977,265</w:t>
            </w:r>
          </w:p>
        </w:tc>
        <w:tc>
          <w:tcPr>
            <w:tcW w:w="1170" w:type="dxa"/>
            <w:shd w:val="clear" w:color="auto" w:fill="auto"/>
            <w:noWrap/>
            <w:vAlign w:val="center"/>
            <w:hideMark/>
          </w:tcPr>
          <w:p w14:paraId="455FA977" w14:textId="77777777" w:rsidR="00C7746D" w:rsidRPr="00D5629E" w:rsidRDefault="00C7746D" w:rsidP="00D5629E">
            <w:pPr>
              <w:pStyle w:val="TableText"/>
            </w:pPr>
            <w:r w:rsidRPr="00D5629E">
              <w:t>982,080</w:t>
            </w:r>
          </w:p>
        </w:tc>
        <w:tc>
          <w:tcPr>
            <w:tcW w:w="1440" w:type="dxa"/>
            <w:shd w:val="clear" w:color="auto" w:fill="auto"/>
            <w:noWrap/>
            <w:vAlign w:val="center"/>
            <w:hideMark/>
          </w:tcPr>
          <w:p w14:paraId="01F525FB" w14:textId="77777777" w:rsidR="00C7746D" w:rsidRPr="00D5629E" w:rsidRDefault="00C7746D" w:rsidP="00D5629E">
            <w:pPr>
              <w:pStyle w:val="TableText"/>
            </w:pPr>
            <w:r w:rsidRPr="00D5629E">
              <w:t>14%</w:t>
            </w:r>
          </w:p>
        </w:tc>
      </w:tr>
      <w:tr w:rsidR="00C7746D" w:rsidRPr="00465332" w14:paraId="31A21415" w14:textId="77777777" w:rsidTr="00D114C8">
        <w:trPr>
          <w:trHeight w:val="20"/>
          <w:jc w:val="center"/>
        </w:trPr>
        <w:tc>
          <w:tcPr>
            <w:tcW w:w="1866" w:type="dxa"/>
            <w:tcBorders>
              <w:bottom w:val="single" w:sz="4" w:space="0" w:color="auto"/>
            </w:tcBorders>
            <w:shd w:val="clear" w:color="auto" w:fill="auto"/>
            <w:noWrap/>
            <w:vAlign w:val="bottom"/>
            <w:hideMark/>
          </w:tcPr>
          <w:p w14:paraId="163D74E1" w14:textId="77777777" w:rsidR="00C7746D" w:rsidRPr="00D5629E" w:rsidRDefault="00C7746D" w:rsidP="00D5629E">
            <w:pPr>
              <w:pStyle w:val="TableTextL"/>
            </w:pPr>
            <w:r w:rsidRPr="00D5629E">
              <w:t>Yolo County</w:t>
            </w:r>
          </w:p>
        </w:tc>
        <w:tc>
          <w:tcPr>
            <w:tcW w:w="924" w:type="dxa"/>
            <w:tcBorders>
              <w:bottom w:val="single" w:sz="4" w:space="0" w:color="auto"/>
            </w:tcBorders>
            <w:shd w:val="clear" w:color="auto" w:fill="auto"/>
            <w:noWrap/>
            <w:vAlign w:val="center"/>
            <w:hideMark/>
          </w:tcPr>
          <w:p w14:paraId="4EB9A76A" w14:textId="77777777" w:rsidR="00C7746D" w:rsidRPr="00D5629E" w:rsidRDefault="00C7746D" w:rsidP="00D5629E">
            <w:pPr>
              <w:pStyle w:val="TableText"/>
            </w:pPr>
            <w:r w:rsidRPr="00D5629E">
              <w:t>221,270</w:t>
            </w:r>
          </w:p>
        </w:tc>
        <w:tc>
          <w:tcPr>
            <w:tcW w:w="1170" w:type="dxa"/>
            <w:tcBorders>
              <w:bottom w:val="single" w:sz="4" w:space="0" w:color="auto"/>
            </w:tcBorders>
            <w:shd w:val="clear" w:color="auto" w:fill="auto"/>
            <w:noWrap/>
            <w:vAlign w:val="center"/>
            <w:hideMark/>
          </w:tcPr>
          <w:p w14:paraId="435878E1" w14:textId="77777777" w:rsidR="00C7746D" w:rsidRPr="00D5629E" w:rsidRDefault="00C7746D" w:rsidP="00D5629E">
            <w:pPr>
              <w:pStyle w:val="TableText"/>
            </w:pPr>
            <w:r w:rsidRPr="00D5629E">
              <w:t>229,023</w:t>
            </w:r>
          </w:p>
        </w:tc>
        <w:tc>
          <w:tcPr>
            <w:tcW w:w="1170" w:type="dxa"/>
            <w:tcBorders>
              <w:bottom w:val="single" w:sz="4" w:space="0" w:color="auto"/>
            </w:tcBorders>
            <w:shd w:val="clear" w:color="auto" w:fill="auto"/>
            <w:noWrap/>
            <w:vAlign w:val="center"/>
            <w:hideMark/>
          </w:tcPr>
          <w:p w14:paraId="342234BE" w14:textId="77777777" w:rsidR="00C7746D" w:rsidRPr="00D5629E" w:rsidRDefault="00C7746D" w:rsidP="00D5629E">
            <w:pPr>
              <w:pStyle w:val="TableText"/>
            </w:pPr>
            <w:r w:rsidRPr="00D5629E">
              <w:t>261,715</w:t>
            </w:r>
          </w:p>
        </w:tc>
        <w:tc>
          <w:tcPr>
            <w:tcW w:w="1170" w:type="dxa"/>
            <w:tcBorders>
              <w:bottom w:val="single" w:sz="4" w:space="0" w:color="auto"/>
            </w:tcBorders>
            <w:shd w:val="clear" w:color="auto" w:fill="auto"/>
            <w:noWrap/>
            <w:vAlign w:val="center"/>
            <w:hideMark/>
          </w:tcPr>
          <w:p w14:paraId="1F4E312C" w14:textId="77777777" w:rsidR="00C7746D" w:rsidRPr="00D5629E" w:rsidRDefault="00C7746D" w:rsidP="00D5629E">
            <w:pPr>
              <w:pStyle w:val="TableText"/>
            </w:pPr>
            <w:r w:rsidRPr="00D5629E">
              <w:t>295,954</w:t>
            </w:r>
          </w:p>
        </w:tc>
        <w:tc>
          <w:tcPr>
            <w:tcW w:w="1170" w:type="dxa"/>
            <w:tcBorders>
              <w:bottom w:val="single" w:sz="4" w:space="0" w:color="auto"/>
            </w:tcBorders>
            <w:shd w:val="clear" w:color="auto" w:fill="auto"/>
            <w:noWrap/>
            <w:vAlign w:val="center"/>
            <w:hideMark/>
          </w:tcPr>
          <w:p w14:paraId="15C117CA" w14:textId="77777777" w:rsidR="00C7746D" w:rsidRPr="00D5629E" w:rsidRDefault="00C7746D" w:rsidP="00D5629E">
            <w:pPr>
              <w:pStyle w:val="TableText"/>
            </w:pPr>
            <w:r w:rsidRPr="00D5629E">
              <w:t>330,480</w:t>
            </w:r>
          </w:p>
        </w:tc>
        <w:tc>
          <w:tcPr>
            <w:tcW w:w="1170" w:type="dxa"/>
            <w:tcBorders>
              <w:bottom w:val="single" w:sz="4" w:space="0" w:color="auto"/>
            </w:tcBorders>
            <w:shd w:val="clear" w:color="auto" w:fill="auto"/>
            <w:noWrap/>
            <w:vAlign w:val="center"/>
            <w:hideMark/>
          </w:tcPr>
          <w:p w14:paraId="2BBA59B4" w14:textId="77777777" w:rsidR="00C7746D" w:rsidRPr="00D5629E" w:rsidRDefault="00C7746D" w:rsidP="00D5629E">
            <w:pPr>
              <w:pStyle w:val="TableText"/>
            </w:pPr>
            <w:r w:rsidRPr="00D5629E">
              <w:t>365,070</w:t>
            </w:r>
          </w:p>
        </w:tc>
        <w:tc>
          <w:tcPr>
            <w:tcW w:w="1440" w:type="dxa"/>
            <w:tcBorders>
              <w:bottom w:val="single" w:sz="4" w:space="0" w:color="auto"/>
            </w:tcBorders>
            <w:shd w:val="clear" w:color="auto" w:fill="auto"/>
            <w:noWrap/>
            <w:vAlign w:val="center"/>
            <w:hideMark/>
          </w:tcPr>
          <w:p w14:paraId="27102682" w14:textId="77777777" w:rsidR="00C7746D" w:rsidRPr="00D5629E" w:rsidRDefault="00C7746D" w:rsidP="00D5629E">
            <w:pPr>
              <w:pStyle w:val="TableText"/>
            </w:pPr>
            <w:r w:rsidRPr="00D5629E">
              <w:t>65%</w:t>
            </w:r>
          </w:p>
        </w:tc>
      </w:tr>
      <w:tr w:rsidR="00C7746D" w:rsidRPr="00465332" w14:paraId="312536C9" w14:textId="77777777" w:rsidTr="00D114C8">
        <w:trPr>
          <w:trHeight w:val="20"/>
          <w:jc w:val="center"/>
        </w:trPr>
        <w:tc>
          <w:tcPr>
            <w:tcW w:w="1866" w:type="dxa"/>
            <w:tcBorders>
              <w:top w:val="single" w:sz="4" w:space="0" w:color="auto"/>
              <w:bottom w:val="single" w:sz="4" w:space="0" w:color="auto"/>
            </w:tcBorders>
            <w:shd w:val="clear" w:color="auto" w:fill="auto"/>
            <w:noWrap/>
            <w:vAlign w:val="bottom"/>
            <w:hideMark/>
          </w:tcPr>
          <w:p w14:paraId="31E92EB7" w14:textId="77777777" w:rsidR="00C7746D" w:rsidRPr="00D5629E" w:rsidRDefault="00C7746D" w:rsidP="00D5629E">
            <w:pPr>
              <w:pStyle w:val="TableTextL"/>
            </w:pPr>
            <w:r w:rsidRPr="00D5629E">
              <w:t>Yuba County</w:t>
            </w:r>
          </w:p>
        </w:tc>
        <w:tc>
          <w:tcPr>
            <w:tcW w:w="924" w:type="dxa"/>
            <w:tcBorders>
              <w:top w:val="single" w:sz="4" w:space="0" w:color="auto"/>
              <w:bottom w:val="single" w:sz="4" w:space="0" w:color="auto"/>
            </w:tcBorders>
            <w:shd w:val="clear" w:color="auto" w:fill="auto"/>
            <w:noWrap/>
            <w:vAlign w:val="center"/>
            <w:hideMark/>
          </w:tcPr>
          <w:p w14:paraId="59B1E816" w14:textId="77777777" w:rsidR="00C7746D" w:rsidRPr="00D5629E" w:rsidRDefault="00C7746D" w:rsidP="00D5629E">
            <w:pPr>
              <w:pStyle w:val="TableText"/>
            </w:pPr>
            <w:r w:rsidRPr="00D5629E">
              <w:t>74,727</w:t>
            </w:r>
          </w:p>
        </w:tc>
        <w:tc>
          <w:tcPr>
            <w:tcW w:w="1170" w:type="dxa"/>
            <w:tcBorders>
              <w:top w:val="single" w:sz="4" w:space="0" w:color="auto"/>
              <w:bottom w:val="single" w:sz="4" w:space="0" w:color="auto"/>
            </w:tcBorders>
            <w:shd w:val="clear" w:color="auto" w:fill="auto"/>
            <w:noWrap/>
            <w:vAlign w:val="center"/>
            <w:hideMark/>
          </w:tcPr>
          <w:p w14:paraId="19218A62" w14:textId="77777777" w:rsidR="00C7746D" w:rsidRPr="00D5629E" w:rsidRDefault="00C7746D" w:rsidP="00D5629E">
            <w:pPr>
              <w:pStyle w:val="TableText"/>
            </w:pPr>
            <w:r w:rsidRPr="00D5629E">
              <w:t>79,087</w:t>
            </w:r>
          </w:p>
        </w:tc>
        <w:tc>
          <w:tcPr>
            <w:tcW w:w="1170" w:type="dxa"/>
            <w:tcBorders>
              <w:top w:val="single" w:sz="4" w:space="0" w:color="auto"/>
              <w:bottom w:val="single" w:sz="4" w:space="0" w:color="auto"/>
            </w:tcBorders>
            <w:shd w:val="clear" w:color="auto" w:fill="auto"/>
            <w:noWrap/>
            <w:vAlign w:val="center"/>
            <w:hideMark/>
          </w:tcPr>
          <w:p w14:paraId="36C684C7" w14:textId="77777777" w:rsidR="00C7746D" w:rsidRPr="00D5629E" w:rsidRDefault="00C7746D" w:rsidP="00D5629E">
            <w:pPr>
              <w:pStyle w:val="TableText"/>
            </w:pPr>
            <w:r w:rsidRPr="00D5629E">
              <w:t>86,718</w:t>
            </w:r>
          </w:p>
        </w:tc>
        <w:tc>
          <w:tcPr>
            <w:tcW w:w="1170" w:type="dxa"/>
            <w:tcBorders>
              <w:top w:val="single" w:sz="4" w:space="0" w:color="auto"/>
              <w:bottom w:val="single" w:sz="4" w:space="0" w:color="auto"/>
            </w:tcBorders>
            <w:shd w:val="clear" w:color="auto" w:fill="auto"/>
            <w:noWrap/>
            <w:vAlign w:val="center"/>
            <w:hideMark/>
          </w:tcPr>
          <w:p w14:paraId="78E0A274" w14:textId="77777777" w:rsidR="00C7746D" w:rsidRPr="00D5629E" w:rsidRDefault="00C7746D" w:rsidP="00D5629E">
            <w:pPr>
              <w:pStyle w:val="TableText"/>
            </w:pPr>
            <w:r w:rsidRPr="00D5629E">
              <w:t>93,304</w:t>
            </w:r>
          </w:p>
        </w:tc>
        <w:tc>
          <w:tcPr>
            <w:tcW w:w="1170" w:type="dxa"/>
            <w:tcBorders>
              <w:top w:val="single" w:sz="4" w:space="0" w:color="auto"/>
              <w:bottom w:val="single" w:sz="4" w:space="0" w:color="auto"/>
            </w:tcBorders>
            <w:shd w:val="clear" w:color="auto" w:fill="auto"/>
            <w:noWrap/>
            <w:vAlign w:val="center"/>
            <w:hideMark/>
          </w:tcPr>
          <w:p w14:paraId="5CC52603" w14:textId="77777777" w:rsidR="00C7746D" w:rsidRPr="00D5629E" w:rsidRDefault="00C7746D" w:rsidP="00D5629E">
            <w:pPr>
              <w:pStyle w:val="TableText"/>
            </w:pPr>
            <w:r w:rsidRPr="00D5629E">
              <w:t>98,341</w:t>
            </w:r>
          </w:p>
        </w:tc>
        <w:tc>
          <w:tcPr>
            <w:tcW w:w="1170" w:type="dxa"/>
            <w:tcBorders>
              <w:top w:val="single" w:sz="4" w:space="0" w:color="auto"/>
              <w:bottom w:val="single" w:sz="4" w:space="0" w:color="auto"/>
            </w:tcBorders>
            <w:shd w:val="clear" w:color="auto" w:fill="auto"/>
            <w:noWrap/>
            <w:vAlign w:val="center"/>
            <w:hideMark/>
          </w:tcPr>
          <w:p w14:paraId="12503442" w14:textId="77777777" w:rsidR="00C7746D" w:rsidRPr="00D5629E" w:rsidRDefault="00C7746D" w:rsidP="00D5629E">
            <w:pPr>
              <w:pStyle w:val="TableText"/>
            </w:pPr>
            <w:r w:rsidRPr="00D5629E">
              <w:t>102,221</w:t>
            </w:r>
          </w:p>
        </w:tc>
        <w:tc>
          <w:tcPr>
            <w:tcW w:w="1440" w:type="dxa"/>
            <w:tcBorders>
              <w:top w:val="single" w:sz="4" w:space="0" w:color="auto"/>
              <w:bottom w:val="single" w:sz="4" w:space="0" w:color="auto"/>
            </w:tcBorders>
            <w:shd w:val="clear" w:color="auto" w:fill="auto"/>
            <w:noWrap/>
            <w:vAlign w:val="center"/>
            <w:hideMark/>
          </w:tcPr>
          <w:p w14:paraId="29F1826C" w14:textId="77777777" w:rsidR="00C7746D" w:rsidRPr="00D5629E" w:rsidRDefault="00C7746D" w:rsidP="00D5629E">
            <w:pPr>
              <w:pStyle w:val="TableText"/>
            </w:pPr>
            <w:r w:rsidRPr="00D5629E">
              <w:t>37%</w:t>
            </w:r>
          </w:p>
        </w:tc>
      </w:tr>
    </w:tbl>
    <w:p w14:paraId="0A8EF482" w14:textId="77777777" w:rsidR="00505F44" w:rsidRPr="002E22BE" w:rsidRDefault="00505F44" w:rsidP="00C7746D">
      <w:pPr>
        <w:pStyle w:val="TableSource"/>
        <w:rPr>
          <w:szCs w:val="16"/>
        </w:rPr>
      </w:pPr>
      <w:r w:rsidRPr="00465332">
        <w:t xml:space="preserve">Source: </w:t>
      </w:r>
      <w:bookmarkStart w:id="7" w:name="_Hlk8058953"/>
      <w:r w:rsidRPr="00465332">
        <w:t>DOF 2018a, 2018b</w:t>
      </w:r>
      <w:bookmarkEnd w:id="7"/>
    </w:p>
    <w:p w14:paraId="6446DCC0" w14:textId="69D9AFE8" w:rsidR="00B761F7" w:rsidRDefault="00B761F7" w:rsidP="00B761F7">
      <w:pPr>
        <w:pStyle w:val="Heading5"/>
      </w:pPr>
      <w:r>
        <w:t>Housing</w:t>
      </w:r>
    </w:p>
    <w:p w14:paraId="16C8D49A" w14:textId="7F9C363A" w:rsidR="00B761F7" w:rsidRDefault="00F47780" w:rsidP="009A76B2">
      <w:pPr>
        <w:pStyle w:val="BodyText"/>
      </w:pPr>
      <w:r>
        <w:t>The housing characteristics for California and counties in the treatable landscape (i.e., all counties except San Francisco</w:t>
      </w:r>
      <w:r w:rsidR="00922121">
        <w:t xml:space="preserve"> and Sutter, which do not contain SRA</w:t>
      </w:r>
      <w:r w:rsidR="00FF473E">
        <w:t xml:space="preserve"> land</w:t>
      </w:r>
      <w:r>
        <w:t xml:space="preserve">) </w:t>
      </w:r>
      <w:r w:rsidRPr="00465332">
        <w:t>are provided in Table 3.12-</w:t>
      </w:r>
      <w:r w:rsidR="003F4646">
        <w:t>4</w:t>
      </w:r>
      <w:r w:rsidRPr="00465332">
        <w:t>.</w:t>
      </w:r>
      <w:r w:rsidR="00564A36" w:rsidRPr="00465332">
        <w:t xml:space="preserve"> Counties</w:t>
      </w:r>
      <w:r w:rsidR="00564A36">
        <w:t xml:space="preserve"> with the highest vacancy rates are generally those in more rural area</w:t>
      </w:r>
      <w:r w:rsidR="005B56CA">
        <w:t>s</w:t>
      </w:r>
      <w:r w:rsidR="006B39DC">
        <w:t>, such as in the Sierra Nevada mountain</w:t>
      </w:r>
      <w:r w:rsidR="004D0A21">
        <w:t>s</w:t>
      </w:r>
      <w:r w:rsidR="00201918">
        <w:t xml:space="preserve"> and</w:t>
      </w:r>
      <w:r w:rsidR="004D0A21">
        <w:t xml:space="preserve"> in the northern portion of the state</w:t>
      </w:r>
      <w:r w:rsidR="00201918">
        <w:t>.</w:t>
      </w:r>
      <w:r w:rsidR="00B54864">
        <w:t xml:space="preserve"> Counties with the lowest vacancy rates are generally those </w:t>
      </w:r>
      <w:r w:rsidR="001D2B6C">
        <w:t xml:space="preserve">within </w:t>
      </w:r>
      <w:r w:rsidR="00B54864">
        <w:t xml:space="preserve">the metropolitan </w:t>
      </w:r>
      <w:r w:rsidR="001D2B6C">
        <w:t>areas of the state</w:t>
      </w:r>
      <w:r w:rsidR="005B56CA">
        <w:t>, including</w:t>
      </w:r>
      <w:r w:rsidR="001D2B6C">
        <w:t xml:space="preserve"> </w:t>
      </w:r>
      <w:r w:rsidR="00E33370">
        <w:t xml:space="preserve">the </w:t>
      </w:r>
      <w:r w:rsidR="0041121C">
        <w:t xml:space="preserve">San Francisco </w:t>
      </w:r>
      <w:r w:rsidR="00E33370">
        <w:t>bay area, Sacramento</w:t>
      </w:r>
      <w:r w:rsidR="005B56CA">
        <w:t xml:space="preserve"> area</w:t>
      </w:r>
      <w:r w:rsidR="00E33370">
        <w:t>, and the coastal area that stretches from Santa Barbara to San Diego Counties.</w:t>
      </w:r>
      <w:r w:rsidR="00C31CFF">
        <w:t xml:space="preserve"> The central valley counties of </w:t>
      </w:r>
      <w:r w:rsidR="00BC5E5B">
        <w:t xml:space="preserve">Fresno, Merced, and Kings </w:t>
      </w:r>
      <w:r w:rsidR="00417289">
        <w:t>also have vacancy rates lower than that of the state.</w:t>
      </w:r>
    </w:p>
    <w:p w14:paraId="331DA220" w14:textId="77777777" w:rsidR="00505F44" w:rsidRPr="00D23729" w:rsidRDefault="00505F44" w:rsidP="003F31E9">
      <w:pPr>
        <w:pStyle w:val="TableHeader"/>
      </w:pPr>
      <w:bookmarkStart w:id="8" w:name="_Toc23837153"/>
      <w:r>
        <w:t>Table 3.12-4</w:t>
      </w:r>
      <w:r>
        <w:tab/>
        <w:t xml:space="preserve">Housing Characteristics for </w:t>
      </w:r>
      <w:r w:rsidRPr="0046755A">
        <w:t xml:space="preserve">California and Counties in the </w:t>
      </w:r>
      <w:r>
        <w:t>Treatable Landscape</w:t>
      </w:r>
      <w:bookmarkEnd w:id="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530"/>
        <w:gridCol w:w="1193"/>
        <w:gridCol w:w="1193"/>
        <w:gridCol w:w="1193"/>
        <w:gridCol w:w="1551"/>
        <w:gridCol w:w="1080"/>
        <w:gridCol w:w="1170"/>
        <w:gridCol w:w="1170"/>
      </w:tblGrid>
      <w:tr w:rsidR="00D23729" w:rsidRPr="00D23729" w14:paraId="2D05D77F" w14:textId="77777777" w:rsidTr="00505F44">
        <w:trPr>
          <w:tblHeader/>
          <w:jc w:val="center"/>
        </w:trPr>
        <w:tc>
          <w:tcPr>
            <w:tcW w:w="1530" w:type="dxa"/>
            <w:tcBorders>
              <w:left w:val="nil"/>
              <w:bottom w:val="single" w:sz="4" w:space="0" w:color="auto"/>
            </w:tcBorders>
            <w:shd w:val="clear" w:color="auto" w:fill="D9D9D9" w:themeFill="background1" w:themeFillShade="D9"/>
            <w:noWrap/>
            <w:vAlign w:val="center"/>
            <w:hideMark/>
          </w:tcPr>
          <w:p w14:paraId="09FB8B2D" w14:textId="77777777" w:rsidR="00D23729" w:rsidRPr="00D23729" w:rsidRDefault="00D23729" w:rsidP="003F31E9">
            <w:pPr>
              <w:pStyle w:val="TableColumn"/>
            </w:pPr>
            <w:r w:rsidRPr="00D23729">
              <w:t>Geographic Area</w:t>
            </w:r>
          </w:p>
        </w:tc>
        <w:tc>
          <w:tcPr>
            <w:tcW w:w="1193" w:type="dxa"/>
            <w:tcBorders>
              <w:bottom w:val="single" w:sz="4" w:space="0" w:color="auto"/>
            </w:tcBorders>
            <w:shd w:val="clear" w:color="auto" w:fill="D9D9D9" w:themeFill="background1" w:themeFillShade="D9"/>
            <w:vAlign w:val="center"/>
            <w:hideMark/>
          </w:tcPr>
          <w:p w14:paraId="1216E80F" w14:textId="77777777" w:rsidR="00D23729" w:rsidRPr="00D23729" w:rsidRDefault="00D23729" w:rsidP="003F31E9">
            <w:pPr>
              <w:pStyle w:val="TableColumn"/>
            </w:pPr>
            <w:r w:rsidRPr="00D23729">
              <w:t>Total</w:t>
            </w:r>
          </w:p>
        </w:tc>
        <w:tc>
          <w:tcPr>
            <w:tcW w:w="1193" w:type="dxa"/>
            <w:tcBorders>
              <w:bottom w:val="single" w:sz="4" w:space="0" w:color="auto"/>
              <w:right w:val="single" w:sz="8" w:space="0" w:color="auto"/>
            </w:tcBorders>
            <w:shd w:val="clear" w:color="auto" w:fill="D9D9D9" w:themeFill="background1" w:themeFillShade="D9"/>
            <w:vAlign w:val="center"/>
            <w:hideMark/>
          </w:tcPr>
          <w:p w14:paraId="13D14F75" w14:textId="77777777" w:rsidR="00D23729" w:rsidRPr="00D23729" w:rsidRDefault="00D23729" w:rsidP="003F31E9">
            <w:pPr>
              <w:pStyle w:val="TableColumn"/>
            </w:pPr>
            <w:r w:rsidRPr="00D23729">
              <w:t>Vacant Units</w:t>
            </w:r>
          </w:p>
        </w:tc>
        <w:tc>
          <w:tcPr>
            <w:tcW w:w="1193" w:type="dxa"/>
            <w:tcBorders>
              <w:top w:val="single" w:sz="8" w:space="0" w:color="auto"/>
              <w:left w:val="single" w:sz="8" w:space="0" w:color="auto"/>
              <w:bottom w:val="single" w:sz="4" w:space="0" w:color="auto"/>
              <w:right w:val="single" w:sz="12" w:space="0" w:color="auto"/>
            </w:tcBorders>
            <w:shd w:val="clear" w:color="auto" w:fill="D9D9D9" w:themeFill="background1" w:themeFillShade="D9"/>
            <w:vAlign w:val="center"/>
            <w:hideMark/>
          </w:tcPr>
          <w:p w14:paraId="5FE20455" w14:textId="77777777" w:rsidR="00D23729" w:rsidRPr="00D23729" w:rsidRDefault="00D23729" w:rsidP="003F31E9">
            <w:pPr>
              <w:pStyle w:val="TableColumn"/>
            </w:pPr>
            <w:r w:rsidRPr="00D23729">
              <w:t>Vacancy Rate</w:t>
            </w:r>
          </w:p>
        </w:tc>
        <w:tc>
          <w:tcPr>
            <w:tcW w:w="1551" w:type="dxa"/>
            <w:tcBorders>
              <w:left w:val="single" w:sz="12" w:space="0" w:color="auto"/>
              <w:bottom w:val="single" w:sz="4" w:space="0" w:color="auto"/>
            </w:tcBorders>
            <w:shd w:val="clear" w:color="auto" w:fill="D9D9D9" w:themeFill="background1" w:themeFillShade="D9"/>
            <w:noWrap/>
            <w:vAlign w:val="center"/>
            <w:hideMark/>
          </w:tcPr>
          <w:p w14:paraId="7CCD1FFF" w14:textId="77777777" w:rsidR="00D23729" w:rsidRPr="00D23729" w:rsidRDefault="00D23729" w:rsidP="003F31E9">
            <w:pPr>
              <w:pStyle w:val="TableColumn"/>
            </w:pPr>
            <w:r w:rsidRPr="00D23729">
              <w:t>Geographic Area</w:t>
            </w:r>
          </w:p>
        </w:tc>
        <w:tc>
          <w:tcPr>
            <w:tcW w:w="1080" w:type="dxa"/>
            <w:tcBorders>
              <w:bottom w:val="single" w:sz="4" w:space="0" w:color="auto"/>
            </w:tcBorders>
            <w:shd w:val="clear" w:color="auto" w:fill="D9D9D9" w:themeFill="background1" w:themeFillShade="D9"/>
            <w:vAlign w:val="center"/>
            <w:hideMark/>
          </w:tcPr>
          <w:p w14:paraId="645161C9" w14:textId="77777777" w:rsidR="00D23729" w:rsidRPr="00D23729" w:rsidRDefault="00D23729" w:rsidP="003F31E9">
            <w:pPr>
              <w:pStyle w:val="TableColumn"/>
            </w:pPr>
            <w:r w:rsidRPr="00D23729">
              <w:t>Total</w:t>
            </w:r>
          </w:p>
        </w:tc>
        <w:tc>
          <w:tcPr>
            <w:tcW w:w="1170" w:type="dxa"/>
            <w:tcBorders>
              <w:bottom w:val="single" w:sz="4" w:space="0" w:color="auto"/>
            </w:tcBorders>
            <w:shd w:val="clear" w:color="auto" w:fill="D9D9D9" w:themeFill="background1" w:themeFillShade="D9"/>
            <w:vAlign w:val="center"/>
            <w:hideMark/>
          </w:tcPr>
          <w:p w14:paraId="21214871" w14:textId="77777777" w:rsidR="00D23729" w:rsidRPr="00D23729" w:rsidRDefault="00D23729" w:rsidP="003F31E9">
            <w:pPr>
              <w:pStyle w:val="TableColumn"/>
            </w:pPr>
            <w:r w:rsidRPr="00D23729">
              <w:t>Vacant Units</w:t>
            </w:r>
          </w:p>
        </w:tc>
        <w:tc>
          <w:tcPr>
            <w:tcW w:w="1170" w:type="dxa"/>
            <w:tcBorders>
              <w:bottom w:val="single" w:sz="4" w:space="0" w:color="auto"/>
              <w:right w:val="nil"/>
            </w:tcBorders>
            <w:shd w:val="clear" w:color="auto" w:fill="D9D9D9" w:themeFill="background1" w:themeFillShade="D9"/>
            <w:vAlign w:val="center"/>
            <w:hideMark/>
          </w:tcPr>
          <w:p w14:paraId="14E4EA86" w14:textId="77777777" w:rsidR="00D23729" w:rsidRPr="00D23729" w:rsidRDefault="00D23729" w:rsidP="003F31E9">
            <w:pPr>
              <w:pStyle w:val="TableColumn"/>
            </w:pPr>
            <w:r w:rsidRPr="00D23729">
              <w:t>Vacancy Rate</w:t>
            </w:r>
          </w:p>
        </w:tc>
      </w:tr>
      <w:tr w:rsidR="003F31E9" w:rsidRPr="00D23729" w14:paraId="5C52805D" w14:textId="77777777" w:rsidTr="00505F44">
        <w:trPr>
          <w:jc w:val="center"/>
        </w:trPr>
        <w:tc>
          <w:tcPr>
            <w:tcW w:w="1530" w:type="dxa"/>
            <w:tcBorders>
              <w:top w:val="single" w:sz="4" w:space="0" w:color="auto"/>
              <w:left w:val="nil"/>
            </w:tcBorders>
            <w:shd w:val="clear" w:color="auto" w:fill="auto"/>
            <w:vAlign w:val="bottom"/>
          </w:tcPr>
          <w:p w14:paraId="66C1CA08" w14:textId="7F5834AC" w:rsidR="003F31E9" w:rsidRPr="00D23729" w:rsidRDefault="003F31E9" w:rsidP="003F31E9">
            <w:pPr>
              <w:pStyle w:val="TableText"/>
              <w:rPr>
                <w:color w:val="000000"/>
              </w:rPr>
            </w:pPr>
            <w:r w:rsidRPr="00D23729">
              <w:t>California</w:t>
            </w:r>
          </w:p>
        </w:tc>
        <w:tc>
          <w:tcPr>
            <w:tcW w:w="1193" w:type="dxa"/>
            <w:tcBorders>
              <w:top w:val="single" w:sz="4" w:space="0" w:color="auto"/>
            </w:tcBorders>
            <w:shd w:val="clear" w:color="auto" w:fill="auto"/>
            <w:noWrap/>
            <w:vAlign w:val="bottom"/>
          </w:tcPr>
          <w:p w14:paraId="33706FCC" w14:textId="75E99F38" w:rsidR="003F31E9" w:rsidRPr="00D23729" w:rsidRDefault="003F31E9" w:rsidP="003F31E9">
            <w:pPr>
              <w:pStyle w:val="TableText"/>
              <w:rPr>
                <w:color w:val="000000"/>
                <w:szCs w:val="18"/>
              </w:rPr>
            </w:pPr>
            <w:r w:rsidRPr="00D23729">
              <w:rPr>
                <w:szCs w:val="18"/>
              </w:rPr>
              <w:t>14,157,590</w:t>
            </w:r>
          </w:p>
        </w:tc>
        <w:tc>
          <w:tcPr>
            <w:tcW w:w="1193" w:type="dxa"/>
            <w:tcBorders>
              <w:top w:val="single" w:sz="4" w:space="0" w:color="auto"/>
              <w:right w:val="single" w:sz="8" w:space="0" w:color="auto"/>
            </w:tcBorders>
            <w:shd w:val="clear" w:color="auto" w:fill="auto"/>
            <w:noWrap/>
            <w:vAlign w:val="bottom"/>
          </w:tcPr>
          <w:p w14:paraId="7B7DA53F" w14:textId="1E8E278C" w:rsidR="003F31E9" w:rsidRPr="00D23729" w:rsidRDefault="003F31E9" w:rsidP="003F31E9">
            <w:pPr>
              <w:pStyle w:val="TableText"/>
              <w:rPr>
                <w:color w:val="000000"/>
                <w:szCs w:val="18"/>
              </w:rPr>
            </w:pPr>
            <w:r w:rsidRPr="00D23729">
              <w:rPr>
                <w:color w:val="000000"/>
                <w:szCs w:val="18"/>
              </w:rPr>
              <w:t>1,043,750</w:t>
            </w:r>
          </w:p>
        </w:tc>
        <w:tc>
          <w:tcPr>
            <w:tcW w:w="1193" w:type="dxa"/>
            <w:tcBorders>
              <w:top w:val="single" w:sz="4" w:space="0" w:color="auto"/>
              <w:left w:val="single" w:sz="8" w:space="0" w:color="auto"/>
              <w:bottom w:val="single" w:sz="8" w:space="0" w:color="auto"/>
              <w:right w:val="single" w:sz="12" w:space="0" w:color="auto"/>
            </w:tcBorders>
            <w:shd w:val="clear" w:color="auto" w:fill="auto"/>
            <w:noWrap/>
            <w:vAlign w:val="bottom"/>
          </w:tcPr>
          <w:p w14:paraId="1E394E4F" w14:textId="4E8FF79B" w:rsidR="003F31E9" w:rsidRPr="00D23729" w:rsidRDefault="003F31E9" w:rsidP="003F31E9">
            <w:pPr>
              <w:pStyle w:val="TableText"/>
              <w:rPr>
                <w:szCs w:val="18"/>
              </w:rPr>
            </w:pPr>
            <w:r w:rsidRPr="00D23729">
              <w:rPr>
                <w:szCs w:val="18"/>
              </w:rPr>
              <w:t>7.4%</w:t>
            </w:r>
          </w:p>
        </w:tc>
        <w:tc>
          <w:tcPr>
            <w:tcW w:w="1551" w:type="dxa"/>
            <w:tcBorders>
              <w:top w:val="single" w:sz="4" w:space="0" w:color="auto"/>
              <w:left w:val="single" w:sz="12" w:space="0" w:color="auto"/>
              <w:right w:val="nil"/>
            </w:tcBorders>
            <w:shd w:val="clear" w:color="auto" w:fill="auto"/>
            <w:vAlign w:val="bottom"/>
          </w:tcPr>
          <w:p w14:paraId="177E003F" w14:textId="77777777" w:rsidR="003F31E9" w:rsidRPr="00D23729" w:rsidRDefault="003F31E9" w:rsidP="003F31E9">
            <w:pPr>
              <w:pStyle w:val="TableText"/>
              <w:rPr>
                <w:color w:val="000000"/>
              </w:rPr>
            </w:pPr>
          </w:p>
        </w:tc>
        <w:tc>
          <w:tcPr>
            <w:tcW w:w="1080" w:type="dxa"/>
            <w:tcBorders>
              <w:top w:val="single" w:sz="4" w:space="0" w:color="auto"/>
              <w:left w:val="nil"/>
              <w:right w:val="nil"/>
            </w:tcBorders>
            <w:shd w:val="clear" w:color="auto" w:fill="auto"/>
            <w:noWrap/>
            <w:vAlign w:val="bottom"/>
          </w:tcPr>
          <w:p w14:paraId="57DC38AB" w14:textId="77777777" w:rsidR="003F31E9" w:rsidRPr="00D23729" w:rsidRDefault="003F31E9" w:rsidP="003F31E9">
            <w:pPr>
              <w:pStyle w:val="TableText"/>
              <w:rPr>
                <w:color w:val="000000"/>
                <w:szCs w:val="18"/>
              </w:rPr>
            </w:pPr>
          </w:p>
        </w:tc>
        <w:tc>
          <w:tcPr>
            <w:tcW w:w="1170" w:type="dxa"/>
            <w:tcBorders>
              <w:top w:val="single" w:sz="4" w:space="0" w:color="auto"/>
              <w:left w:val="nil"/>
              <w:right w:val="nil"/>
            </w:tcBorders>
            <w:shd w:val="clear" w:color="auto" w:fill="auto"/>
            <w:noWrap/>
            <w:vAlign w:val="bottom"/>
          </w:tcPr>
          <w:p w14:paraId="3676D269" w14:textId="77777777" w:rsidR="003F31E9" w:rsidRPr="00D23729" w:rsidRDefault="003F31E9" w:rsidP="003F31E9">
            <w:pPr>
              <w:pStyle w:val="TableText"/>
              <w:rPr>
                <w:color w:val="000000"/>
                <w:szCs w:val="18"/>
              </w:rPr>
            </w:pPr>
          </w:p>
        </w:tc>
        <w:tc>
          <w:tcPr>
            <w:tcW w:w="1170" w:type="dxa"/>
            <w:tcBorders>
              <w:top w:val="single" w:sz="4" w:space="0" w:color="auto"/>
              <w:left w:val="nil"/>
              <w:right w:val="nil"/>
            </w:tcBorders>
            <w:shd w:val="clear" w:color="auto" w:fill="auto"/>
            <w:noWrap/>
            <w:vAlign w:val="bottom"/>
          </w:tcPr>
          <w:p w14:paraId="0772DB44" w14:textId="77777777" w:rsidR="003F31E9" w:rsidRPr="00D23729" w:rsidRDefault="003F31E9" w:rsidP="003F31E9">
            <w:pPr>
              <w:pStyle w:val="TableText"/>
              <w:rPr>
                <w:szCs w:val="18"/>
              </w:rPr>
            </w:pPr>
          </w:p>
        </w:tc>
      </w:tr>
      <w:tr w:rsidR="003F31E9" w:rsidRPr="00D23729" w14:paraId="3E85F6D5" w14:textId="77777777" w:rsidTr="001319A9">
        <w:trPr>
          <w:jc w:val="center"/>
        </w:trPr>
        <w:tc>
          <w:tcPr>
            <w:tcW w:w="1530" w:type="dxa"/>
            <w:tcBorders>
              <w:left w:val="nil"/>
            </w:tcBorders>
            <w:shd w:val="clear" w:color="auto" w:fill="auto"/>
            <w:vAlign w:val="bottom"/>
            <w:hideMark/>
          </w:tcPr>
          <w:p w14:paraId="5428DB2F" w14:textId="77777777" w:rsidR="003F31E9" w:rsidRPr="00D23729" w:rsidRDefault="003F31E9" w:rsidP="003F31E9">
            <w:pPr>
              <w:pStyle w:val="TableText"/>
              <w:rPr>
                <w:color w:val="000000"/>
              </w:rPr>
            </w:pPr>
            <w:r w:rsidRPr="00D23729">
              <w:rPr>
                <w:color w:val="000000"/>
              </w:rPr>
              <w:t>Alameda</w:t>
            </w:r>
          </w:p>
        </w:tc>
        <w:tc>
          <w:tcPr>
            <w:tcW w:w="1193" w:type="dxa"/>
            <w:shd w:val="clear" w:color="auto" w:fill="auto"/>
            <w:noWrap/>
            <w:vAlign w:val="bottom"/>
            <w:hideMark/>
          </w:tcPr>
          <w:p w14:paraId="3E6D6ED2" w14:textId="77777777" w:rsidR="003F31E9" w:rsidRPr="00D23729" w:rsidRDefault="003F31E9" w:rsidP="003F31E9">
            <w:pPr>
              <w:pStyle w:val="TableText"/>
              <w:rPr>
                <w:color w:val="000000"/>
                <w:szCs w:val="18"/>
              </w:rPr>
            </w:pPr>
            <w:r w:rsidRPr="00D23729">
              <w:rPr>
                <w:color w:val="000000"/>
                <w:szCs w:val="18"/>
              </w:rPr>
              <w:t>602,047</w:t>
            </w:r>
          </w:p>
        </w:tc>
        <w:tc>
          <w:tcPr>
            <w:tcW w:w="1193" w:type="dxa"/>
            <w:tcBorders>
              <w:right w:val="single" w:sz="8" w:space="0" w:color="auto"/>
            </w:tcBorders>
            <w:shd w:val="clear" w:color="auto" w:fill="auto"/>
            <w:noWrap/>
            <w:vAlign w:val="bottom"/>
            <w:hideMark/>
          </w:tcPr>
          <w:p w14:paraId="0741327A" w14:textId="77777777" w:rsidR="003F31E9" w:rsidRPr="00D23729" w:rsidRDefault="003F31E9" w:rsidP="003F31E9">
            <w:pPr>
              <w:pStyle w:val="TableText"/>
              <w:rPr>
                <w:color w:val="000000"/>
                <w:szCs w:val="18"/>
              </w:rPr>
            </w:pPr>
            <w:r w:rsidRPr="00D23729">
              <w:rPr>
                <w:color w:val="000000"/>
                <w:szCs w:val="18"/>
              </w:rPr>
              <w:t>24,924</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B3A3108" w14:textId="77777777" w:rsidR="003F31E9" w:rsidRPr="00D23729" w:rsidRDefault="003F31E9" w:rsidP="003F31E9">
            <w:pPr>
              <w:pStyle w:val="TableText"/>
              <w:rPr>
                <w:szCs w:val="18"/>
              </w:rPr>
            </w:pPr>
            <w:r w:rsidRPr="00D23729">
              <w:rPr>
                <w:szCs w:val="18"/>
              </w:rPr>
              <w:t>4.1%</w:t>
            </w:r>
          </w:p>
        </w:tc>
        <w:tc>
          <w:tcPr>
            <w:tcW w:w="1551" w:type="dxa"/>
            <w:tcBorders>
              <w:left w:val="single" w:sz="12" w:space="0" w:color="auto"/>
            </w:tcBorders>
            <w:shd w:val="clear" w:color="auto" w:fill="auto"/>
            <w:vAlign w:val="bottom"/>
            <w:hideMark/>
          </w:tcPr>
          <w:p w14:paraId="32780162" w14:textId="77777777" w:rsidR="003F31E9" w:rsidRPr="00D23729" w:rsidRDefault="003F31E9" w:rsidP="003F31E9">
            <w:pPr>
              <w:pStyle w:val="TableText"/>
              <w:rPr>
                <w:color w:val="000000"/>
              </w:rPr>
            </w:pPr>
            <w:r w:rsidRPr="00D23729">
              <w:rPr>
                <w:color w:val="000000"/>
              </w:rPr>
              <w:t>Orange</w:t>
            </w:r>
          </w:p>
        </w:tc>
        <w:tc>
          <w:tcPr>
            <w:tcW w:w="1080" w:type="dxa"/>
            <w:shd w:val="clear" w:color="auto" w:fill="auto"/>
            <w:noWrap/>
            <w:vAlign w:val="bottom"/>
            <w:hideMark/>
          </w:tcPr>
          <w:p w14:paraId="40D9E1A5" w14:textId="77777777" w:rsidR="003F31E9" w:rsidRPr="00D23729" w:rsidRDefault="003F31E9" w:rsidP="003F31E9">
            <w:pPr>
              <w:pStyle w:val="TableText"/>
              <w:rPr>
                <w:color w:val="000000"/>
                <w:szCs w:val="18"/>
              </w:rPr>
            </w:pPr>
            <w:r w:rsidRPr="00D23729">
              <w:rPr>
                <w:color w:val="000000"/>
                <w:szCs w:val="18"/>
              </w:rPr>
              <w:t>1,094,169</w:t>
            </w:r>
          </w:p>
        </w:tc>
        <w:tc>
          <w:tcPr>
            <w:tcW w:w="1170" w:type="dxa"/>
            <w:shd w:val="clear" w:color="auto" w:fill="auto"/>
            <w:noWrap/>
            <w:vAlign w:val="bottom"/>
            <w:hideMark/>
          </w:tcPr>
          <w:p w14:paraId="01B25701" w14:textId="77777777" w:rsidR="003F31E9" w:rsidRPr="00D23729" w:rsidRDefault="003F31E9" w:rsidP="003F31E9">
            <w:pPr>
              <w:pStyle w:val="TableText"/>
              <w:rPr>
                <w:color w:val="000000"/>
                <w:szCs w:val="18"/>
              </w:rPr>
            </w:pPr>
            <w:r w:rsidRPr="00D23729">
              <w:rPr>
                <w:color w:val="000000"/>
                <w:szCs w:val="18"/>
              </w:rPr>
              <w:t>56,996</w:t>
            </w:r>
          </w:p>
        </w:tc>
        <w:tc>
          <w:tcPr>
            <w:tcW w:w="1170" w:type="dxa"/>
            <w:tcBorders>
              <w:right w:val="nil"/>
            </w:tcBorders>
            <w:shd w:val="clear" w:color="auto" w:fill="auto"/>
            <w:noWrap/>
            <w:vAlign w:val="bottom"/>
            <w:hideMark/>
          </w:tcPr>
          <w:p w14:paraId="31C06F98" w14:textId="77777777" w:rsidR="003F31E9" w:rsidRPr="00D23729" w:rsidRDefault="003F31E9" w:rsidP="003F31E9">
            <w:pPr>
              <w:pStyle w:val="TableText"/>
              <w:rPr>
                <w:szCs w:val="18"/>
              </w:rPr>
            </w:pPr>
            <w:r w:rsidRPr="00D23729">
              <w:rPr>
                <w:szCs w:val="18"/>
              </w:rPr>
              <w:t>5.2%</w:t>
            </w:r>
          </w:p>
        </w:tc>
      </w:tr>
      <w:tr w:rsidR="003F31E9" w:rsidRPr="00D23729" w14:paraId="0A1EE9AD" w14:textId="77777777" w:rsidTr="001319A9">
        <w:trPr>
          <w:jc w:val="center"/>
        </w:trPr>
        <w:tc>
          <w:tcPr>
            <w:tcW w:w="1530" w:type="dxa"/>
            <w:tcBorders>
              <w:left w:val="nil"/>
            </w:tcBorders>
            <w:shd w:val="clear" w:color="auto" w:fill="auto"/>
            <w:vAlign w:val="bottom"/>
            <w:hideMark/>
          </w:tcPr>
          <w:p w14:paraId="345B2757" w14:textId="77777777" w:rsidR="003F31E9" w:rsidRPr="00D23729" w:rsidRDefault="003F31E9" w:rsidP="003F31E9">
            <w:pPr>
              <w:pStyle w:val="TableText"/>
              <w:rPr>
                <w:color w:val="000000"/>
              </w:rPr>
            </w:pPr>
            <w:r w:rsidRPr="00D23729">
              <w:rPr>
                <w:color w:val="000000"/>
              </w:rPr>
              <w:t>Alpine</w:t>
            </w:r>
          </w:p>
        </w:tc>
        <w:tc>
          <w:tcPr>
            <w:tcW w:w="1193" w:type="dxa"/>
            <w:shd w:val="clear" w:color="auto" w:fill="auto"/>
            <w:noWrap/>
            <w:vAlign w:val="bottom"/>
            <w:hideMark/>
          </w:tcPr>
          <w:p w14:paraId="280105E8" w14:textId="77777777" w:rsidR="003F31E9" w:rsidRPr="00D23729" w:rsidRDefault="003F31E9" w:rsidP="003F31E9">
            <w:pPr>
              <w:pStyle w:val="TableText"/>
              <w:rPr>
                <w:color w:val="000000"/>
                <w:szCs w:val="18"/>
              </w:rPr>
            </w:pPr>
            <w:r w:rsidRPr="00D23729">
              <w:rPr>
                <w:color w:val="000000"/>
                <w:szCs w:val="18"/>
              </w:rPr>
              <w:t>1,778</w:t>
            </w:r>
          </w:p>
        </w:tc>
        <w:tc>
          <w:tcPr>
            <w:tcW w:w="1193" w:type="dxa"/>
            <w:tcBorders>
              <w:right w:val="single" w:sz="8" w:space="0" w:color="auto"/>
            </w:tcBorders>
            <w:shd w:val="clear" w:color="auto" w:fill="auto"/>
            <w:noWrap/>
            <w:vAlign w:val="bottom"/>
            <w:hideMark/>
          </w:tcPr>
          <w:p w14:paraId="4A4C4BD4" w14:textId="77777777" w:rsidR="003F31E9" w:rsidRPr="00D23729" w:rsidRDefault="003F31E9" w:rsidP="003F31E9">
            <w:pPr>
              <w:pStyle w:val="TableText"/>
              <w:rPr>
                <w:color w:val="000000"/>
                <w:szCs w:val="18"/>
              </w:rPr>
            </w:pPr>
            <w:r w:rsidRPr="00D23729">
              <w:rPr>
                <w:color w:val="000000"/>
                <w:szCs w:val="18"/>
              </w:rPr>
              <w:t>1,301</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C05E6D8" w14:textId="77777777" w:rsidR="003F31E9" w:rsidRPr="00D23729" w:rsidRDefault="003F31E9" w:rsidP="003F31E9">
            <w:pPr>
              <w:pStyle w:val="TableText"/>
              <w:rPr>
                <w:szCs w:val="18"/>
              </w:rPr>
            </w:pPr>
            <w:r w:rsidRPr="00D23729">
              <w:rPr>
                <w:szCs w:val="18"/>
              </w:rPr>
              <w:t>73.2%</w:t>
            </w:r>
          </w:p>
        </w:tc>
        <w:tc>
          <w:tcPr>
            <w:tcW w:w="1551" w:type="dxa"/>
            <w:tcBorders>
              <w:left w:val="single" w:sz="12" w:space="0" w:color="auto"/>
            </w:tcBorders>
            <w:shd w:val="clear" w:color="auto" w:fill="auto"/>
            <w:vAlign w:val="bottom"/>
            <w:hideMark/>
          </w:tcPr>
          <w:p w14:paraId="3975DCB6" w14:textId="77777777" w:rsidR="003F31E9" w:rsidRPr="00D23729" w:rsidRDefault="003F31E9" w:rsidP="003F31E9">
            <w:pPr>
              <w:pStyle w:val="TableText"/>
              <w:rPr>
                <w:color w:val="000000"/>
              </w:rPr>
            </w:pPr>
            <w:r w:rsidRPr="00D23729">
              <w:rPr>
                <w:color w:val="000000"/>
              </w:rPr>
              <w:t>Placer</w:t>
            </w:r>
          </w:p>
        </w:tc>
        <w:tc>
          <w:tcPr>
            <w:tcW w:w="1080" w:type="dxa"/>
            <w:shd w:val="clear" w:color="auto" w:fill="auto"/>
            <w:noWrap/>
            <w:vAlign w:val="bottom"/>
            <w:hideMark/>
          </w:tcPr>
          <w:p w14:paraId="79A10FD9" w14:textId="77777777" w:rsidR="003F31E9" w:rsidRPr="00D23729" w:rsidRDefault="003F31E9" w:rsidP="003F31E9">
            <w:pPr>
              <w:pStyle w:val="TableText"/>
              <w:rPr>
                <w:color w:val="000000"/>
                <w:szCs w:val="18"/>
              </w:rPr>
            </w:pPr>
            <w:r w:rsidRPr="00D23729">
              <w:rPr>
                <w:color w:val="000000"/>
                <w:szCs w:val="18"/>
              </w:rPr>
              <w:t>164,820</w:t>
            </w:r>
          </w:p>
        </w:tc>
        <w:tc>
          <w:tcPr>
            <w:tcW w:w="1170" w:type="dxa"/>
            <w:shd w:val="clear" w:color="auto" w:fill="auto"/>
            <w:noWrap/>
            <w:vAlign w:val="bottom"/>
            <w:hideMark/>
          </w:tcPr>
          <w:p w14:paraId="32EA00F4" w14:textId="77777777" w:rsidR="003F31E9" w:rsidRPr="00D23729" w:rsidRDefault="003F31E9" w:rsidP="003F31E9">
            <w:pPr>
              <w:pStyle w:val="TableText"/>
              <w:rPr>
                <w:color w:val="000000"/>
                <w:szCs w:val="18"/>
              </w:rPr>
            </w:pPr>
            <w:r w:rsidRPr="00D23729">
              <w:rPr>
                <w:color w:val="000000"/>
                <w:szCs w:val="18"/>
              </w:rPr>
              <w:t>20,746</w:t>
            </w:r>
          </w:p>
        </w:tc>
        <w:tc>
          <w:tcPr>
            <w:tcW w:w="1170" w:type="dxa"/>
            <w:tcBorders>
              <w:right w:val="nil"/>
            </w:tcBorders>
            <w:shd w:val="clear" w:color="auto" w:fill="auto"/>
            <w:noWrap/>
            <w:vAlign w:val="bottom"/>
            <w:hideMark/>
          </w:tcPr>
          <w:p w14:paraId="563353B3" w14:textId="77777777" w:rsidR="003F31E9" w:rsidRPr="00D23729" w:rsidRDefault="003F31E9" w:rsidP="003F31E9">
            <w:pPr>
              <w:pStyle w:val="TableText"/>
              <w:rPr>
                <w:szCs w:val="18"/>
              </w:rPr>
            </w:pPr>
            <w:r w:rsidRPr="00D23729">
              <w:rPr>
                <w:szCs w:val="18"/>
              </w:rPr>
              <w:t>12.6%</w:t>
            </w:r>
          </w:p>
        </w:tc>
      </w:tr>
      <w:tr w:rsidR="003F31E9" w:rsidRPr="00D23729" w14:paraId="1EDB066C" w14:textId="77777777" w:rsidTr="001319A9">
        <w:trPr>
          <w:jc w:val="center"/>
        </w:trPr>
        <w:tc>
          <w:tcPr>
            <w:tcW w:w="1530" w:type="dxa"/>
            <w:tcBorders>
              <w:left w:val="nil"/>
            </w:tcBorders>
            <w:shd w:val="clear" w:color="auto" w:fill="auto"/>
            <w:vAlign w:val="bottom"/>
            <w:hideMark/>
          </w:tcPr>
          <w:p w14:paraId="5EF737AF" w14:textId="77777777" w:rsidR="003F31E9" w:rsidRPr="00D23729" w:rsidRDefault="003F31E9" w:rsidP="003F31E9">
            <w:pPr>
              <w:pStyle w:val="TableText"/>
              <w:rPr>
                <w:color w:val="000000"/>
              </w:rPr>
            </w:pPr>
            <w:r w:rsidRPr="00D23729">
              <w:rPr>
                <w:color w:val="000000"/>
              </w:rPr>
              <w:t>Amador</w:t>
            </w:r>
          </w:p>
        </w:tc>
        <w:tc>
          <w:tcPr>
            <w:tcW w:w="1193" w:type="dxa"/>
            <w:shd w:val="clear" w:color="auto" w:fill="auto"/>
            <w:noWrap/>
            <w:vAlign w:val="bottom"/>
            <w:hideMark/>
          </w:tcPr>
          <w:p w14:paraId="4D202A5C" w14:textId="77777777" w:rsidR="003F31E9" w:rsidRPr="00D23729" w:rsidRDefault="003F31E9" w:rsidP="003F31E9">
            <w:pPr>
              <w:pStyle w:val="TableText"/>
              <w:rPr>
                <w:color w:val="000000"/>
                <w:szCs w:val="18"/>
              </w:rPr>
            </w:pPr>
            <w:r w:rsidRPr="00D23729">
              <w:rPr>
                <w:color w:val="000000"/>
                <w:szCs w:val="18"/>
              </w:rPr>
              <w:t>18,221</w:t>
            </w:r>
          </w:p>
        </w:tc>
        <w:tc>
          <w:tcPr>
            <w:tcW w:w="1193" w:type="dxa"/>
            <w:tcBorders>
              <w:right w:val="single" w:sz="8" w:space="0" w:color="auto"/>
            </w:tcBorders>
            <w:shd w:val="clear" w:color="auto" w:fill="auto"/>
            <w:noWrap/>
            <w:vAlign w:val="bottom"/>
            <w:hideMark/>
          </w:tcPr>
          <w:p w14:paraId="6605F9F0" w14:textId="77777777" w:rsidR="003F31E9" w:rsidRPr="00D23729" w:rsidRDefault="003F31E9" w:rsidP="003F31E9">
            <w:pPr>
              <w:pStyle w:val="TableText"/>
              <w:rPr>
                <w:color w:val="000000"/>
                <w:szCs w:val="18"/>
              </w:rPr>
            </w:pPr>
            <w:r w:rsidRPr="00D23729">
              <w:rPr>
                <w:color w:val="000000"/>
                <w:szCs w:val="18"/>
              </w:rPr>
              <w:t>3,536</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E526952" w14:textId="77777777" w:rsidR="003F31E9" w:rsidRPr="00D23729" w:rsidRDefault="003F31E9" w:rsidP="003F31E9">
            <w:pPr>
              <w:pStyle w:val="TableText"/>
              <w:rPr>
                <w:szCs w:val="18"/>
              </w:rPr>
            </w:pPr>
            <w:r w:rsidRPr="00D23729">
              <w:rPr>
                <w:szCs w:val="18"/>
              </w:rPr>
              <w:t>19.4%</w:t>
            </w:r>
          </w:p>
        </w:tc>
        <w:tc>
          <w:tcPr>
            <w:tcW w:w="1551" w:type="dxa"/>
            <w:tcBorders>
              <w:left w:val="single" w:sz="12" w:space="0" w:color="auto"/>
            </w:tcBorders>
            <w:shd w:val="clear" w:color="auto" w:fill="auto"/>
            <w:vAlign w:val="bottom"/>
            <w:hideMark/>
          </w:tcPr>
          <w:p w14:paraId="0A9F2F4E" w14:textId="77777777" w:rsidR="003F31E9" w:rsidRPr="00D23729" w:rsidRDefault="003F31E9" w:rsidP="003F31E9">
            <w:pPr>
              <w:pStyle w:val="TableText"/>
              <w:rPr>
                <w:color w:val="000000"/>
              </w:rPr>
            </w:pPr>
            <w:r w:rsidRPr="00D23729">
              <w:rPr>
                <w:color w:val="000000"/>
              </w:rPr>
              <w:t>Plumas</w:t>
            </w:r>
          </w:p>
        </w:tc>
        <w:tc>
          <w:tcPr>
            <w:tcW w:w="1080" w:type="dxa"/>
            <w:shd w:val="clear" w:color="auto" w:fill="auto"/>
            <w:noWrap/>
            <w:vAlign w:val="bottom"/>
            <w:hideMark/>
          </w:tcPr>
          <w:p w14:paraId="17E685E0" w14:textId="77777777" w:rsidR="003F31E9" w:rsidRPr="00D23729" w:rsidRDefault="003F31E9" w:rsidP="003F31E9">
            <w:pPr>
              <w:pStyle w:val="TableText"/>
              <w:rPr>
                <w:color w:val="000000"/>
                <w:szCs w:val="18"/>
              </w:rPr>
            </w:pPr>
            <w:r w:rsidRPr="00D23729">
              <w:rPr>
                <w:color w:val="000000"/>
                <w:szCs w:val="18"/>
              </w:rPr>
              <w:t>15,850</w:t>
            </w:r>
          </w:p>
        </w:tc>
        <w:tc>
          <w:tcPr>
            <w:tcW w:w="1170" w:type="dxa"/>
            <w:shd w:val="clear" w:color="auto" w:fill="auto"/>
            <w:noWrap/>
            <w:vAlign w:val="bottom"/>
            <w:hideMark/>
          </w:tcPr>
          <w:p w14:paraId="01AAA13E" w14:textId="77777777" w:rsidR="003F31E9" w:rsidRPr="00D23729" w:rsidRDefault="003F31E9" w:rsidP="003F31E9">
            <w:pPr>
              <w:pStyle w:val="TableText"/>
              <w:rPr>
                <w:color w:val="000000"/>
                <w:szCs w:val="18"/>
              </w:rPr>
            </w:pPr>
            <w:r w:rsidRPr="00D23729">
              <w:rPr>
                <w:color w:val="000000"/>
                <w:szCs w:val="18"/>
              </w:rPr>
              <w:t>7,280</w:t>
            </w:r>
          </w:p>
        </w:tc>
        <w:tc>
          <w:tcPr>
            <w:tcW w:w="1170" w:type="dxa"/>
            <w:tcBorders>
              <w:right w:val="nil"/>
            </w:tcBorders>
            <w:shd w:val="clear" w:color="auto" w:fill="auto"/>
            <w:noWrap/>
            <w:vAlign w:val="bottom"/>
            <w:hideMark/>
          </w:tcPr>
          <w:p w14:paraId="09F88A37" w14:textId="77777777" w:rsidR="003F31E9" w:rsidRPr="00D23729" w:rsidRDefault="003F31E9" w:rsidP="003F31E9">
            <w:pPr>
              <w:pStyle w:val="TableText"/>
              <w:rPr>
                <w:szCs w:val="18"/>
              </w:rPr>
            </w:pPr>
            <w:r w:rsidRPr="00D23729">
              <w:rPr>
                <w:szCs w:val="18"/>
              </w:rPr>
              <w:t>45.9%</w:t>
            </w:r>
          </w:p>
        </w:tc>
      </w:tr>
      <w:tr w:rsidR="003F31E9" w:rsidRPr="00D23729" w14:paraId="394E9EFC" w14:textId="77777777" w:rsidTr="001319A9">
        <w:trPr>
          <w:jc w:val="center"/>
        </w:trPr>
        <w:tc>
          <w:tcPr>
            <w:tcW w:w="1530" w:type="dxa"/>
            <w:tcBorders>
              <w:left w:val="nil"/>
            </w:tcBorders>
            <w:shd w:val="clear" w:color="auto" w:fill="auto"/>
            <w:vAlign w:val="bottom"/>
            <w:hideMark/>
          </w:tcPr>
          <w:p w14:paraId="53922EAC" w14:textId="77777777" w:rsidR="003F31E9" w:rsidRPr="00D23729" w:rsidRDefault="003F31E9" w:rsidP="003F31E9">
            <w:pPr>
              <w:pStyle w:val="TableText"/>
              <w:rPr>
                <w:color w:val="000000"/>
              </w:rPr>
            </w:pPr>
            <w:r w:rsidRPr="00D23729">
              <w:rPr>
                <w:color w:val="000000"/>
              </w:rPr>
              <w:t>Butte</w:t>
            </w:r>
          </w:p>
        </w:tc>
        <w:tc>
          <w:tcPr>
            <w:tcW w:w="1193" w:type="dxa"/>
            <w:shd w:val="clear" w:color="auto" w:fill="auto"/>
            <w:noWrap/>
            <w:vAlign w:val="bottom"/>
            <w:hideMark/>
          </w:tcPr>
          <w:p w14:paraId="2A155816" w14:textId="77777777" w:rsidR="003F31E9" w:rsidRPr="00D23729" w:rsidRDefault="003F31E9" w:rsidP="003F31E9">
            <w:pPr>
              <w:pStyle w:val="TableText"/>
              <w:rPr>
                <w:color w:val="000000"/>
                <w:szCs w:val="18"/>
              </w:rPr>
            </w:pPr>
            <w:r w:rsidRPr="00D23729">
              <w:rPr>
                <w:color w:val="000000"/>
                <w:szCs w:val="18"/>
              </w:rPr>
              <w:t>99,353</w:t>
            </w:r>
          </w:p>
        </w:tc>
        <w:tc>
          <w:tcPr>
            <w:tcW w:w="1193" w:type="dxa"/>
            <w:tcBorders>
              <w:right w:val="single" w:sz="8" w:space="0" w:color="auto"/>
            </w:tcBorders>
            <w:shd w:val="clear" w:color="auto" w:fill="auto"/>
            <w:noWrap/>
            <w:vAlign w:val="bottom"/>
            <w:hideMark/>
          </w:tcPr>
          <w:p w14:paraId="0FE10CD3" w14:textId="77777777" w:rsidR="003F31E9" w:rsidRPr="00D23729" w:rsidRDefault="003F31E9" w:rsidP="003F31E9">
            <w:pPr>
              <w:pStyle w:val="TableText"/>
              <w:rPr>
                <w:color w:val="000000"/>
                <w:szCs w:val="18"/>
              </w:rPr>
            </w:pPr>
            <w:r w:rsidRPr="00D23729">
              <w:rPr>
                <w:color w:val="000000"/>
                <w:szCs w:val="18"/>
              </w:rPr>
              <w:t>8,391</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7B5C368" w14:textId="77777777" w:rsidR="003F31E9" w:rsidRPr="00D23729" w:rsidRDefault="003F31E9" w:rsidP="003F31E9">
            <w:pPr>
              <w:pStyle w:val="TableText"/>
              <w:rPr>
                <w:szCs w:val="18"/>
              </w:rPr>
            </w:pPr>
            <w:r w:rsidRPr="00D23729">
              <w:rPr>
                <w:szCs w:val="18"/>
              </w:rPr>
              <w:t>8.4%</w:t>
            </w:r>
          </w:p>
        </w:tc>
        <w:tc>
          <w:tcPr>
            <w:tcW w:w="1551" w:type="dxa"/>
            <w:tcBorders>
              <w:left w:val="single" w:sz="12" w:space="0" w:color="auto"/>
            </w:tcBorders>
            <w:shd w:val="clear" w:color="auto" w:fill="auto"/>
            <w:vAlign w:val="bottom"/>
            <w:hideMark/>
          </w:tcPr>
          <w:p w14:paraId="231654EF" w14:textId="77777777" w:rsidR="003F31E9" w:rsidRPr="00D23729" w:rsidRDefault="003F31E9" w:rsidP="003F31E9">
            <w:pPr>
              <w:pStyle w:val="TableText"/>
              <w:rPr>
                <w:color w:val="000000"/>
              </w:rPr>
            </w:pPr>
            <w:r w:rsidRPr="00D23729">
              <w:rPr>
                <w:color w:val="000000"/>
              </w:rPr>
              <w:t>Riverside</w:t>
            </w:r>
          </w:p>
        </w:tc>
        <w:tc>
          <w:tcPr>
            <w:tcW w:w="1080" w:type="dxa"/>
            <w:shd w:val="clear" w:color="auto" w:fill="auto"/>
            <w:noWrap/>
            <w:vAlign w:val="bottom"/>
            <w:hideMark/>
          </w:tcPr>
          <w:p w14:paraId="2AC51ABC" w14:textId="77777777" w:rsidR="003F31E9" w:rsidRPr="00D23729" w:rsidRDefault="003F31E9" w:rsidP="003F31E9">
            <w:pPr>
              <w:pStyle w:val="TableText"/>
              <w:rPr>
                <w:color w:val="000000"/>
                <w:szCs w:val="18"/>
              </w:rPr>
            </w:pPr>
            <w:r w:rsidRPr="00D23729">
              <w:rPr>
                <w:color w:val="000000"/>
                <w:szCs w:val="18"/>
              </w:rPr>
              <w:t>840,904</w:t>
            </w:r>
          </w:p>
        </w:tc>
        <w:tc>
          <w:tcPr>
            <w:tcW w:w="1170" w:type="dxa"/>
            <w:shd w:val="clear" w:color="auto" w:fill="auto"/>
            <w:noWrap/>
            <w:vAlign w:val="bottom"/>
            <w:hideMark/>
          </w:tcPr>
          <w:p w14:paraId="669F63D4" w14:textId="77777777" w:rsidR="003F31E9" w:rsidRPr="00D23729" w:rsidRDefault="003F31E9" w:rsidP="003F31E9">
            <w:pPr>
              <w:pStyle w:val="TableText"/>
              <w:rPr>
                <w:color w:val="000000"/>
                <w:szCs w:val="18"/>
              </w:rPr>
            </w:pPr>
            <w:r w:rsidRPr="00D23729">
              <w:rPr>
                <w:color w:val="000000"/>
                <w:szCs w:val="18"/>
              </w:rPr>
              <w:t>110,984</w:t>
            </w:r>
          </w:p>
        </w:tc>
        <w:tc>
          <w:tcPr>
            <w:tcW w:w="1170" w:type="dxa"/>
            <w:tcBorders>
              <w:right w:val="nil"/>
            </w:tcBorders>
            <w:shd w:val="clear" w:color="auto" w:fill="auto"/>
            <w:noWrap/>
            <w:vAlign w:val="bottom"/>
            <w:hideMark/>
          </w:tcPr>
          <w:p w14:paraId="0BC5AB70" w14:textId="77777777" w:rsidR="003F31E9" w:rsidRPr="00D23729" w:rsidRDefault="003F31E9" w:rsidP="003F31E9">
            <w:pPr>
              <w:pStyle w:val="TableText"/>
              <w:rPr>
                <w:szCs w:val="18"/>
              </w:rPr>
            </w:pPr>
            <w:r w:rsidRPr="00D23729">
              <w:rPr>
                <w:szCs w:val="18"/>
              </w:rPr>
              <w:t>13.2%</w:t>
            </w:r>
          </w:p>
        </w:tc>
      </w:tr>
      <w:tr w:rsidR="003F31E9" w:rsidRPr="00D23729" w14:paraId="271F0756" w14:textId="77777777" w:rsidTr="001319A9">
        <w:trPr>
          <w:jc w:val="center"/>
        </w:trPr>
        <w:tc>
          <w:tcPr>
            <w:tcW w:w="1530" w:type="dxa"/>
            <w:tcBorders>
              <w:left w:val="nil"/>
            </w:tcBorders>
            <w:shd w:val="clear" w:color="auto" w:fill="auto"/>
            <w:vAlign w:val="bottom"/>
            <w:hideMark/>
          </w:tcPr>
          <w:p w14:paraId="18360556" w14:textId="77777777" w:rsidR="003F31E9" w:rsidRPr="00D23729" w:rsidRDefault="003F31E9" w:rsidP="003F31E9">
            <w:pPr>
              <w:pStyle w:val="TableText"/>
              <w:rPr>
                <w:color w:val="000000"/>
              </w:rPr>
            </w:pPr>
            <w:r w:rsidRPr="00D23729">
              <w:rPr>
                <w:color w:val="000000"/>
              </w:rPr>
              <w:t>Calaveras</w:t>
            </w:r>
          </w:p>
        </w:tc>
        <w:tc>
          <w:tcPr>
            <w:tcW w:w="1193" w:type="dxa"/>
            <w:shd w:val="clear" w:color="auto" w:fill="auto"/>
            <w:noWrap/>
            <w:vAlign w:val="bottom"/>
            <w:hideMark/>
          </w:tcPr>
          <w:p w14:paraId="6B777B46" w14:textId="77777777" w:rsidR="003F31E9" w:rsidRPr="00D23729" w:rsidRDefault="003F31E9" w:rsidP="003F31E9">
            <w:pPr>
              <w:pStyle w:val="TableText"/>
              <w:rPr>
                <w:color w:val="000000"/>
                <w:szCs w:val="18"/>
              </w:rPr>
            </w:pPr>
            <w:r w:rsidRPr="00D23729">
              <w:rPr>
                <w:color w:val="000000"/>
                <w:szCs w:val="18"/>
              </w:rPr>
              <w:t>28,074</w:t>
            </w:r>
          </w:p>
        </w:tc>
        <w:tc>
          <w:tcPr>
            <w:tcW w:w="1193" w:type="dxa"/>
            <w:tcBorders>
              <w:right w:val="single" w:sz="8" w:space="0" w:color="auto"/>
            </w:tcBorders>
            <w:shd w:val="clear" w:color="auto" w:fill="auto"/>
            <w:noWrap/>
            <w:vAlign w:val="bottom"/>
            <w:hideMark/>
          </w:tcPr>
          <w:p w14:paraId="61C10DC3" w14:textId="77777777" w:rsidR="003F31E9" w:rsidRPr="00D23729" w:rsidRDefault="003F31E9" w:rsidP="003F31E9">
            <w:pPr>
              <w:pStyle w:val="TableText"/>
              <w:rPr>
                <w:color w:val="000000"/>
                <w:szCs w:val="18"/>
              </w:rPr>
            </w:pPr>
            <w:r w:rsidRPr="00D23729">
              <w:rPr>
                <w:color w:val="000000"/>
                <w:szCs w:val="18"/>
              </w:rPr>
              <w:t>9,784</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639C9E1" w14:textId="77777777" w:rsidR="003F31E9" w:rsidRPr="00D23729" w:rsidRDefault="003F31E9" w:rsidP="003F31E9">
            <w:pPr>
              <w:pStyle w:val="TableText"/>
              <w:rPr>
                <w:szCs w:val="18"/>
              </w:rPr>
            </w:pPr>
            <w:r w:rsidRPr="00D23729">
              <w:rPr>
                <w:szCs w:val="18"/>
              </w:rPr>
              <w:t>34.9%</w:t>
            </w:r>
          </w:p>
        </w:tc>
        <w:tc>
          <w:tcPr>
            <w:tcW w:w="1551" w:type="dxa"/>
            <w:tcBorders>
              <w:left w:val="single" w:sz="12" w:space="0" w:color="auto"/>
            </w:tcBorders>
            <w:shd w:val="clear" w:color="auto" w:fill="auto"/>
            <w:vAlign w:val="bottom"/>
            <w:hideMark/>
          </w:tcPr>
          <w:p w14:paraId="3202A6FD" w14:textId="77777777" w:rsidR="003F31E9" w:rsidRPr="00D23729" w:rsidRDefault="003F31E9" w:rsidP="003F31E9">
            <w:pPr>
              <w:pStyle w:val="TableText"/>
              <w:rPr>
                <w:color w:val="000000"/>
              </w:rPr>
            </w:pPr>
            <w:r w:rsidRPr="00D23729">
              <w:rPr>
                <w:color w:val="000000"/>
              </w:rPr>
              <w:t>Sacramento</w:t>
            </w:r>
          </w:p>
        </w:tc>
        <w:tc>
          <w:tcPr>
            <w:tcW w:w="1080" w:type="dxa"/>
            <w:shd w:val="clear" w:color="auto" w:fill="auto"/>
            <w:noWrap/>
            <w:vAlign w:val="bottom"/>
            <w:hideMark/>
          </w:tcPr>
          <w:p w14:paraId="2ACD011E" w14:textId="77777777" w:rsidR="003F31E9" w:rsidRPr="00D23729" w:rsidRDefault="003F31E9" w:rsidP="003F31E9">
            <w:pPr>
              <w:pStyle w:val="TableText"/>
              <w:rPr>
                <w:color w:val="000000"/>
                <w:szCs w:val="18"/>
              </w:rPr>
            </w:pPr>
            <w:r w:rsidRPr="00D23729">
              <w:rPr>
                <w:color w:val="000000"/>
                <w:szCs w:val="18"/>
              </w:rPr>
              <w:t>570,305</w:t>
            </w:r>
          </w:p>
        </w:tc>
        <w:tc>
          <w:tcPr>
            <w:tcW w:w="1170" w:type="dxa"/>
            <w:shd w:val="clear" w:color="auto" w:fill="auto"/>
            <w:noWrap/>
            <w:vAlign w:val="bottom"/>
            <w:hideMark/>
          </w:tcPr>
          <w:p w14:paraId="15B0A123" w14:textId="77777777" w:rsidR="003F31E9" w:rsidRPr="00D23729" w:rsidRDefault="003F31E9" w:rsidP="003F31E9">
            <w:pPr>
              <w:pStyle w:val="TableText"/>
              <w:rPr>
                <w:color w:val="000000"/>
                <w:szCs w:val="18"/>
              </w:rPr>
            </w:pPr>
            <w:r w:rsidRPr="00D23729">
              <w:rPr>
                <w:color w:val="000000"/>
                <w:szCs w:val="18"/>
              </w:rPr>
              <w:t>33,249</w:t>
            </w:r>
          </w:p>
        </w:tc>
        <w:tc>
          <w:tcPr>
            <w:tcW w:w="1170" w:type="dxa"/>
            <w:tcBorders>
              <w:right w:val="nil"/>
            </w:tcBorders>
            <w:shd w:val="clear" w:color="auto" w:fill="auto"/>
            <w:noWrap/>
            <w:vAlign w:val="bottom"/>
            <w:hideMark/>
          </w:tcPr>
          <w:p w14:paraId="342268E6" w14:textId="77777777" w:rsidR="003F31E9" w:rsidRPr="00D23729" w:rsidRDefault="003F31E9" w:rsidP="003F31E9">
            <w:pPr>
              <w:pStyle w:val="TableText"/>
              <w:rPr>
                <w:szCs w:val="18"/>
              </w:rPr>
            </w:pPr>
            <w:r w:rsidRPr="00D23729">
              <w:rPr>
                <w:szCs w:val="18"/>
              </w:rPr>
              <w:t>5.8%</w:t>
            </w:r>
          </w:p>
        </w:tc>
      </w:tr>
      <w:tr w:rsidR="003F31E9" w:rsidRPr="00D23729" w14:paraId="2ACEE328" w14:textId="77777777" w:rsidTr="001319A9">
        <w:trPr>
          <w:jc w:val="center"/>
        </w:trPr>
        <w:tc>
          <w:tcPr>
            <w:tcW w:w="1530" w:type="dxa"/>
            <w:tcBorders>
              <w:left w:val="nil"/>
            </w:tcBorders>
            <w:shd w:val="clear" w:color="auto" w:fill="auto"/>
            <w:vAlign w:val="bottom"/>
            <w:hideMark/>
          </w:tcPr>
          <w:p w14:paraId="6C694887" w14:textId="77777777" w:rsidR="003F31E9" w:rsidRPr="00D23729" w:rsidRDefault="003F31E9" w:rsidP="003F31E9">
            <w:pPr>
              <w:pStyle w:val="TableText"/>
              <w:rPr>
                <w:color w:val="000000"/>
              </w:rPr>
            </w:pPr>
            <w:r w:rsidRPr="00D23729">
              <w:rPr>
                <w:color w:val="000000"/>
              </w:rPr>
              <w:t>Colusa</w:t>
            </w:r>
          </w:p>
        </w:tc>
        <w:tc>
          <w:tcPr>
            <w:tcW w:w="1193" w:type="dxa"/>
            <w:shd w:val="clear" w:color="auto" w:fill="auto"/>
            <w:noWrap/>
            <w:vAlign w:val="bottom"/>
            <w:hideMark/>
          </w:tcPr>
          <w:p w14:paraId="1E105E87" w14:textId="77777777" w:rsidR="003F31E9" w:rsidRPr="00D23729" w:rsidRDefault="003F31E9" w:rsidP="003F31E9">
            <w:pPr>
              <w:pStyle w:val="TableText"/>
              <w:rPr>
                <w:color w:val="000000"/>
                <w:szCs w:val="18"/>
              </w:rPr>
            </w:pPr>
            <w:r w:rsidRPr="00D23729">
              <w:rPr>
                <w:color w:val="000000"/>
                <w:szCs w:val="18"/>
              </w:rPr>
              <w:t>8,151</w:t>
            </w:r>
          </w:p>
        </w:tc>
        <w:tc>
          <w:tcPr>
            <w:tcW w:w="1193" w:type="dxa"/>
            <w:tcBorders>
              <w:right w:val="single" w:sz="8" w:space="0" w:color="auto"/>
            </w:tcBorders>
            <w:shd w:val="clear" w:color="auto" w:fill="auto"/>
            <w:noWrap/>
            <w:vAlign w:val="bottom"/>
            <w:hideMark/>
          </w:tcPr>
          <w:p w14:paraId="750721B4" w14:textId="77777777" w:rsidR="003F31E9" w:rsidRPr="00D23729" w:rsidRDefault="003F31E9" w:rsidP="003F31E9">
            <w:pPr>
              <w:pStyle w:val="TableText"/>
              <w:rPr>
                <w:color w:val="000000"/>
                <w:szCs w:val="18"/>
              </w:rPr>
            </w:pPr>
            <w:r w:rsidRPr="00D23729">
              <w:rPr>
                <w:color w:val="000000"/>
                <w:szCs w:val="18"/>
              </w:rPr>
              <w:t>840</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DA4ED3A" w14:textId="77777777" w:rsidR="003F31E9" w:rsidRPr="00D23729" w:rsidRDefault="003F31E9" w:rsidP="003F31E9">
            <w:pPr>
              <w:pStyle w:val="TableText"/>
              <w:rPr>
                <w:szCs w:val="18"/>
              </w:rPr>
            </w:pPr>
            <w:r w:rsidRPr="00D23729">
              <w:rPr>
                <w:szCs w:val="18"/>
              </w:rPr>
              <w:t>10.3%</w:t>
            </w:r>
          </w:p>
        </w:tc>
        <w:tc>
          <w:tcPr>
            <w:tcW w:w="1551" w:type="dxa"/>
            <w:tcBorders>
              <w:left w:val="single" w:sz="12" w:space="0" w:color="auto"/>
            </w:tcBorders>
            <w:shd w:val="clear" w:color="auto" w:fill="auto"/>
            <w:vAlign w:val="bottom"/>
            <w:hideMark/>
          </w:tcPr>
          <w:p w14:paraId="2B2DA735" w14:textId="77777777" w:rsidR="003F31E9" w:rsidRPr="00D23729" w:rsidRDefault="003F31E9" w:rsidP="003F31E9">
            <w:pPr>
              <w:pStyle w:val="TableText"/>
              <w:rPr>
                <w:color w:val="000000"/>
              </w:rPr>
            </w:pPr>
            <w:r w:rsidRPr="00D23729">
              <w:rPr>
                <w:color w:val="000000"/>
              </w:rPr>
              <w:t>San Benito</w:t>
            </w:r>
          </w:p>
        </w:tc>
        <w:tc>
          <w:tcPr>
            <w:tcW w:w="1080" w:type="dxa"/>
            <w:shd w:val="clear" w:color="auto" w:fill="auto"/>
            <w:noWrap/>
            <w:vAlign w:val="bottom"/>
            <w:hideMark/>
          </w:tcPr>
          <w:p w14:paraId="11746DA1" w14:textId="77777777" w:rsidR="003F31E9" w:rsidRPr="00D23729" w:rsidRDefault="003F31E9" w:rsidP="003F31E9">
            <w:pPr>
              <w:pStyle w:val="TableText"/>
              <w:rPr>
                <w:color w:val="000000"/>
                <w:szCs w:val="18"/>
              </w:rPr>
            </w:pPr>
            <w:r w:rsidRPr="00D23729">
              <w:rPr>
                <w:color w:val="000000"/>
                <w:szCs w:val="18"/>
              </w:rPr>
              <w:t>18,935</w:t>
            </w:r>
          </w:p>
        </w:tc>
        <w:tc>
          <w:tcPr>
            <w:tcW w:w="1170" w:type="dxa"/>
            <w:shd w:val="clear" w:color="auto" w:fill="auto"/>
            <w:noWrap/>
            <w:vAlign w:val="bottom"/>
            <w:hideMark/>
          </w:tcPr>
          <w:p w14:paraId="3A9E7701" w14:textId="77777777" w:rsidR="003F31E9" w:rsidRPr="00D23729" w:rsidRDefault="003F31E9" w:rsidP="003F31E9">
            <w:pPr>
              <w:pStyle w:val="TableText"/>
              <w:rPr>
                <w:color w:val="000000"/>
                <w:szCs w:val="18"/>
              </w:rPr>
            </w:pPr>
            <w:r w:rsidRPr="00D23729">
              <w:rPr>
                <w:color w:val="000000"/>
                <w:szCs w:val="18"/>
              </w:rPr>
              <w:t>1,105</w:t>
            </w:r>
          </w:p>
        </w:tc>
        <w:tc>
          <w:tcPr>
            <w:tcW w:w="1170" w:type="dxa"/>
            <w:tcBorders>
              <w:right w:val="nil"/>
            </w:tcBorders>
            <w:shd w:val="clear" w:color="auto" w:fill="auto"/>
            <w:noWrap/>
            <w:vAlign w:val="bottom"/>
            <w:hideMark/>
          </w:tcPr>
          <w:p w14:paraId="6C484012" w14:textId="77777777" w:rsidR="003F31E9" w:rsidRPr="00D23729" w:rsidRDefault="003F31E9" w:rsidP="003F31E9">
            <w:pPr>
              <w:pStyle w:val="TableText"/>
              <w:rPr>
                <w:szCs w:val="18"/>
              </w:rPr>
            </w:pPr>
            <w:r w:rsidRPr="00D23729">
              <w:rPr>
                <w:szCs w:val="18"/>
              </w:rPr>
              <w:t>5.8%</w:t>
            </w:r>
          </w:p>
        </w:tc>
      </w:tr>
      <w:tr w:rsidR="003F31E9" w:rsidRPr="00D23729" w14:paraId="7E22B144" w14:textId="77777777" w:rsidTr="001319A9">
        <w:trPr>
          <w:jc w:val="center"/>
        </w:trPr>
        <w:tc>
          <w:tcPr>
            <w:tcW w:w="1530" w:type="dxa"/>
            <w:tcBorders>
              <w:left w:val="nil"/>
            </w:tcBorders>
            <w:shd w:val="clear" w:color="auto" w:fill="auto"/>
            <w:vAlign w:val="bottom"/>
            <w:hideMark/>
          </w:tcPr>
          <w:p w14:paraId="5DED4FAB" w14:textId="77777777" w:rsidR="003F31E9" w:rsidRPr="00D23729" w:rsidRDefault="003F31E9" w:rsidP="003F31E9">
            <w:pPr>
              <w:pStyle w:val="TableText"/>
              <w:rPr>
                <w:color w:val="000000"/>
              </w:rPr>
            </w:pPr>
            <w:r w:rsidRPr="00D23729">
              <w:rPr>
                <w:color w:val="000000"/>
              </w:rPr>
              <w:t>Contra Costa</w:t>
            </w:r>
          </w:p>
        </w:tc>
        <w:tc>
          <w:tcPr>
            <w:tcW w:w="1193" w:type="dxa"/>
            <w:shd w:val="clear" w:color="auto" w:fill="auto"/>
            <w:noWrap/>
            <w:vAlign w:val="bottom"/>
            <w:hideMark/>
          </w:tcPr>
          <w:p w14:paraId="741640AA" w14:textId="77777777" w:rsidR="003F31E9" w:rsidRPr="00D23729" w:rsidRDefault="003F31E9" w:rsidP="003F31E9">
            <w:pPr>
              <w:pStyle w:val="TableText"/>
              <w:rPr>
                <w:color w:val="000000"/>
                <w:szCs w:val="18"/>
              </w:rPr>
            </w:pPr>
            <w:r w:rsidRPr="00D23729">
              <w:rPr>
                <w:color w:val="000000"/>
                <w:szCs w:val="18"/>
              </w:rPr>
              <w:t>413,923</w:t>
            </w:r>
          </w:p>
        </w:tc>
        <w:tc>
          <w:tcPr>
            <w:tcW w:w="1193" w:type="dxa"/>
            <w:tcBorders>
              <w:right w:val="single" w:sz="8" w:space="0" w:color="auto"/>
            </w:tcBorders>
            <w:shd w:val="clear" w:color="auto" w:fill="auto"/>
            <w:noWrap/>
            <w:vAlign w:val="bottom"/>
            <w:hideMark/>
          </w:tcPr>
          <w:p w14:paraId="14BBA908" w14:textId="77777777" w:rsidR="003F31E9" w:rsidRPr="00D23729" w:rsidRDefault="003F31E9" w:rsidP="003F31E9">
            <w:pPr>
              <w:pStyle w:val="TableText"/>
              <w:rPr>
                <w:color w:val="000000"/>
                <w:szCs w:val="18"/>
              </w:rPr>
            </w:pPr>
            <w:r w:rsidRPr="00D23729">
              <w:rPr>
                <w:color w:val="000000"/>
                <w:szCs w:val="18"/>
              </w:rPr>
              <w:t>21,738</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E504157" w14:textId="77777777" w:rsidR="003F31E9" w:rsidRPr="00D23729" w:rsidRDefault="003F31E9" w:rsidP="003F31E9">
            <w:pPr>
              <w:pStyle w:val="TableText"/>
              <w:rPr>
                <w:szCs w:val="18"/>
              </w:rPr>
            </w:pPr>
            <w:r w:rsidRPr="00D23729">
              <w:rPr>
                <w:szCs w:val="18"/>
              </w:rPr>
              <w:t>5.3%</w:t>
            </w:r>
          </w:p>
        </w:tc>
        <w:tc>
          <w:tcPr>
            <w:tcW w:w="1551" w:type="dxa"/>
            <w:tcBorders>
              <w:left w:val="single" w:sz="12" w:space="0" w:color="auto"/>
            </w:tcBorders>
            <w:shd w:val="clear" w:color="auto" w:fill="auto"/>
            <w:vAlign w:val="bottom"/>
            <w:hideMark/>
          </w:tcPr>
          <w:p w14:paraId="67E7919A" w14:textId="77777777" w:rsidR="003F31E9" w:rsidRPr="00D23729" w:rsidRDefault="003F31E9" w:rsidP="003F31E9">
            <w:pPr>
              <w:pStyle w:val="TableText"/>
              <w:rPr>
                <w:color w:val="000000"/>
              </w:rPr>
            </w:pPr>
            <w:r w:rsidRPr="00D23729">
              <w:rPr>
                <w:color w:val="000000"/>
              </w:rPr>
              <w:t>San Bernardino</w:t>
            </w:r>
          </w:p>
        </w:tc>
        <w:tc>
          <w:tcPr>
            <w:tcW w:w="1080" w:type="dxa"/>
            <w:shd w:val="clear" w:color="auto" w:fill="auto"/>
            <w:noWrap/>
            <w:vAlign w:val="bottom"/>
            <w:hideMark/>
          </w:tcPr>
          <w:p w14:paraId="39C9A979" w14:textId="77777777" w:rsidR="003F31E9" w:rsidRPr="00D23729" w:rsidRDefault="003F31E9" w:rsidP="003F31E9">
            <w:pPr>
              <w:pStyle w:val="TableText"/>
              <w:rPr>
                <w:color w:val="000000"/>
                <w:szCs w:val="18"/>
              </w:rPr>
            </w:pPr>
            <w:r w:rsidRPr="00D23729">
              <w:rPr>
                <w:color w:val="000000"/>
                <w:szCs w:val="18"/>
              </w:rPr>
              <w:t>719,911</w:t>
            </w:r>
          </w:p>
        </w:tc>
        <w:tc>
          <w:tcPr>
            <w:tcW w:w="1170" w:type="dxa"/>
            <w:shd w:val="clear" w:color="auto" w:fill="auto"/>
            <w:noWrap/>
            <w:vAlign w:val="bottom"/>
            <w:hideMark/>
          </w:tcPr>
          <w:p w14:paraId="08774959" w14:textId="77777777" w:rsidR="003F31E9" w:rsidRPr="00D23729" w:rsidRDefault="003F31E9" w:rsidP="003F31E9">
            <w:pPr>
              <w:pStyle w:val="TableText"/>
              <w:rPr>
                <w:color w:val="000000"/>
                <w:szCs w:val="18"/>
              </w:rPr>
            </w:pPr>
            <w:r w:rsidRPr="00D23729">
              <w:rPr>
                <w:color w:val="000000"/>
                <w:szCs w:val="18"/>
              </w:rPr>
              <w:t>75,664</w:t>
            </w:r>
          </w:p>
        </w:tc>
        <w:tc>
          <w:tcPr>
            <w:tcW w:w="1170" w:type="dxa"/>
            <w:tcBorders>
              <w:right w:val="nil"/>
            </w:tcBorders>
            <w:shd w:val="clear" w:color="auto" w:fill="auto"/>
            <w:noWrap/>
            <w:vAlign w:val="bottom"/>
            <w:hideMark/>
          </w:tcPr>
          <w:p w14:paraId="63458C42" w14:textId="77777777" w:rsidR="003F31E9" w:rsidRPr="00D23729" w:rsidRDefault="003F31E9" w:rsidP="003F31E9">
            <w:pPr>
              <w:pStyle w:val="TableText"/>
              <w:rPr>
                <w:szCs w:val="18"/>
              </w:rPr>
            </w:pPr>
            <w:r w:rsidRPr="00D23729">
              <w:rPr>
                <w:szCs w:val="18"/>
              </w:rPr>
              <w:t>10.5%</w:t>
            </w:r>
          </w:p>
        </w:tc>
      </w:tr>
      <w:tr w:rsidR="003F31E9" w:rsidRPr="00D23729" w14:paraId="7B800CD2" w14:textId="77777777" w:rsidTr="001319A9">
        <w:trPr>
          <w:jc w:val="center"/>
        </w:trPr>
        <w:tc>
          <w:tcPr>
            <w:tcW w:w="1530" w:type="dxa"/>
            <w:tcBorders>
              <w:left w:val="nil"/>
            </w:tcBorders>
            <w:shd w:val="clear" w:color="auto" w:fill="auto"/>
            <w:vAlign w:val="bottom"/>
            <w:hideMark/>
          </w:tcPr>
          <w:p w14:paraId="13F7701F" w14:textId="77777777" w:rsidR="003F31E9" w:rsidRPr="00D23729" w:rsidRDefault="003F31E9" w:rsidP="003F31E9">
            <w:pPr>
              <w:pStyle w:val="TableText"/>
              <w:rPr>
                <w:color w:val="000000"/>
              </w:rPr>
            </w:pPr>
            <w:r w:rsidRPr="00D23729">
              <w:rPr>
                <w:color w:val="000000"/>
              </w:rPr>
              <w:t>Del Norte</w:t>
            </w:r>
          </w:p>
        </w:tc>
        <w:tc>
          <w:tcPr>
            <w:tcW w:w="1193" w:type="dxa"/>
            <w:shd w:val="clear" w:color="auto" w:fill="auto"/>
            <w:noWrap/>
            <w:vAlign w:val="bottom"/>
            <w:hideMark/>
          </w:tcPr>
          <w:p w14:paraId="169516D4" w14:textId="77777777" w:rsidR="003F31E9" w:rsidRPr="00D23729" w:rsidRDefault="003F31E9" w:rsidP="003F31E9">
            <w:pPr>
              <w:pStyle w:val="TableText"/>
              <w:rPr>
                <w:color w:val="000000"/>
                <w:szCs w:val="18"/>
              </w:rPr>
            </w:pPr>
            <w:r w:rsidRPr="00D23729">
              <w:rPr>
                <w:color w:val="000000"/>
                <w:szCs w:val="18"/>
              </w:rPr>
              <w:t>11,322</w:t>
            </w:r>
          </w:p>
        </w:tc>
        <w:tc>
          <w:tcPr>
            <w:tcW w:w="1193" w:type="dxa"/>
            <w:tcBorders>
              <w:right w:val="single" w:sz="8" w:space="0" w:color="auto"/>
            </w:tcBorders>
            <w:shd w:val="clear" w:color="auto" w:fill="auto"/>
            <w:noWrap/>
            <w:vAlign w:val="bottom"/>
            <w:hideMark/>
          </w:tcPr>
          <w:p w14:paraId="70997404" w14:textId="77777777" w:rsidR="003F31E9" w:rsidRPr="00D23729" w:rsidRDefault="003F31E9" w:rsidP="003F31E9">
            <w:pPr>
              <w:pStyle w:val="TableText"/>
              <w:rPr>
                <w:color w:val="000000"/>
                <w:szCs w:val="18"/>
              </w:rPr>
            </w:pPr>
            <w:r w:rsidRPr="00D23729">
              <w:rPr>
                <w:color w:val="000000"/>
                <w:szCs w:val="18"/>
              </w:rPr>
              <w:t>1,579</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A04B5B6" w14:textId="77777777" w:rsidR="003F31E9" w:rsidRPr="00D23729" w:rsidRDefault="003F31E9" w:rsidP="003F31E9">
            <w:pPr>
              <w:pStyle w:val="TableText"/>
              <w:rPr>
                <w:szCs w:val="18"/>
              </w:rPr>
            </w:pPr>
            <w:r w:rsidRPr="00D23729">
              <w:rPr>
                <w:szCs w:val="18"/>
              </w:rPr>
              <w:t>13.9%</w:t>
            </w:r>
          </w:p>
        </w:tc>
        <w:tc>
          <w:tcPr>
            <w:tcW w:w="1551" w:type="dxa"/>
            <w:tcBorders>
              <w:left w:val="single" w:sz="12" w:space="0" w:color="auto"/>
            </w:tcBorders>
            <w:shd w:val="clear" w:color="auto" w:fill="auto"/>
            <w:vAlign w:val="bottom"/>
            <w:hideMark/>
          </w:tcPr>
          <w:p w14:paraId="31BBF57D" w14:textId="77777777" w:rsidR="003F31E9" w:rsidRPr="00D23729" w:rsidRDefault="003F31E9" w:rsidP="003F31E9">
            <w:pPr>
              <w:pStyle w:val="TableText"/>
              <w:rPr>
                <w:color w:val="000000"/>
              </w:rPr>
            </w:pPr>
            <w:r w:rsidRPr="00D23729">
              <w:rPr>
                <w:color w:val="000000"/>
              </w:rPr>
              <w:t>San Diego</w:t>
            </w:r>
          </w:p>
        </w:tc>
        <w:tc>
          <w:tcPr>
            <w:tcW w:w="1080" w:type="dxa"/>
            <w:shd w:val="clear" w:color="auto" w:fill="auto"/>
            <w:noWrap/>
            <w:vAlign w:val="bottom"/>
            <w:hideMark/>
          </w:tcPr>
          <w:p w14:paraId="12C5853E" w14:textId="77777777" w:rsidR="003F31E9" w:rsidRPr="00D23729" w:rsidRDefault="003F31E9" w:rsidP="003F31E9">
            <w:pPr>
              <w:pStyle w:val="TableText"/>
              <w:rPr>
                <w:color w:val="000000"/>
                <w:szCs w:val="18"/>
              </w:rPr>
            </w:pPr>
            <w:r w:rsidRPr="00D23729">
              <w:rPr>
                <w:color w:val="000000"/>
                <w:szCs w:val="18"/>
              </w:rPr>
              <w:t>1,210,138</w:t>
            </w:r>
          </w:p>
        </w:tc>
        <w:tc>
          <w:tcPr>
            <w:tcW w:w="1170" w:type="dxa"/>
            <w:shd w:val="clear" w:color="auto" w:fill="auto"/>
            <w:noWrap/>
            <w:vAlign w:val="bottom"/>
            <w:hideMark/>
          </w:tcPr>
          <w:p w14:paraId="3E956447" w14:textId="77777777" w:rsidR="003F31E9" w:rsidRPr="00D23729" w:rsidRDefault="003F31E9" w:rsidP="003F31E9">
            <w:pPr>
              <w:pStyle w:val="TableText"/>
              <w:rPr>
                <w:color w:val="000000"/>
                <w:szCs w:val="18"/>
              </w:rPr>
            </w:pPr>
            <w:r w:rsidRPr="00D23729">
              <w:rPr>
                <w:color w:val="000000"/>
                <w:szCs w:val="18"/>
              </w:rPr>
              <w:t>70,487</w:t>
            </w:r>
          </w:p>
        </w:tc>
        <w:tc>
          <w:tcPr>
            <w:tcW w:w="1170" w:type="dxa"/>
            <w:tcBorders>
              <w:right w:val="nil"/>
            </w:tcBorders>
            <w:shd w:val="clear" w:color="auto" w:fill="auto"/>
            <w:noWrap/>
            <w:vAlign w:val="bottom"/>
            <w:hideMark/>
          </w:tcPr>
          <w:p w14:paraId="0434DFF3" w14:textId="77777777" w:rsidR="003F31E9" w:rsidRPr="00D23729" w:rsidRDefault="003F31E9" w:rsidP="003F31E9">
            <w:pPr>
              <w:pStyle w:val="TableText"/>
              <w:rPr>
                <w:szCs w:val="18"/>
              </w:rPr>
            </w:pPr>
            <w:r w:rsidRPr="00D23729">
              <w:rPr>
                <w:szCs w:val="18"/>
              </w:rPr>
              <w:t>5.8%</w:t>
            </w:r>
          </w:p>
        </w:tc>
      </w:tr>
      <w:tr w:rsidR="003F31E9" w:rsidRPr="00D23729" w14:paraId="471FE359" w14:textId="77777777" w:rsidTr="001319A9">
        <w:trPr>
          <w:jc w:val="center"/>
        </w:trPr>
        <w:tc>
          <w:tcPr>
            <w:tcW w:w="1530" w:type="dxa"/>
            <w:tcBorders>
              <w:left w:val="nil"/>
            </w:tcBorders>
            <w:shd w:val="clear" w:color="auto" w:fill="auto"/>
            <w:vAlign w:val="bottom"/>
            <w:hideMark/>
          </w:tcPr>
          <w:p w14:paraId="7A78C02F" w14:textId="77777777" w:rsidR="003F31E9" w:rsidRPr="00D23729" w:rsidRDefault="003F31E9" w:rsidP="003F31E9">
            <w:pPr>
              <w:pStyle w:val="TableText"/>
              <w:rPr>
                <w:color w:val="000000"/>
              </w:rPr>
            </w:pPr>
            <w:r w:rsidRPr="00D23729">
              <w:rPr>
                <w:color w:val="000000"/>
              </w:rPr>
              <w:lastRenderedPageBreak/>
              <w:t>El Dorado</w:t>
            </w:r>
          </w:p>
        </w:tc>
        <w:tc>
          <w:tcPr>
            <w:tcW w:w="1193" w:type="dxa"/>
            <w:shd w:val="clear" w:color="auto" w:fill="auto"/>
            <w:noWrap/>
            <w:vAlign w:val="bottom"/>
            <w:hideMark/>
          </w:tcPr>
          <w:p w14:paraId="0571BA7F" w14:textId="77777777" w:rsidR="003F31E9" w:rsidRPr="00D23729" w:rsidRDefault="003F31E9" w:rsidP="003F31E9">
            <w:pPr>
              <w:pStyle w:val="TableText"/>
              <w:rPr>
                <w:color w:val="000000"/>
                <w:szCs w:val="18"/>
              </w:rPr>
            </w:pPr>
            <w:r w:rsidRPr="00D23729">
              <w:rPr>
                <w:color w:val="000000"/>
                <w:szCs w:val="18"/>
              </w:rPr>
              <w:t>91,745</w:t>
            </w:r>
          </w:p>
        </w:tc>
        <w:tc>
          <w:tcPr>
            <w:tcW w:w="1193" w:type="dxa"/>
            <w:tcBorders>
              <w:right w:val="single" w:sz="8" w:space="0" w:color="auto"/>
            </w:tcBorders>
            <w:shd w:val="clear" w:color="auto" w:fill="auto"/>
            <w:noWrap/>
            <w:vAlign w:val="bottom"/>
            <w:hideMark/>
          </w:tcPr>
          <w:p w14:paraId="770C5181" w14:textId="77777777" w:rsidR="003F31E9" w:rsidRPr="00D23729" w:rsidRDefault="003F31E9" w:rsidP="003F31E9">
            <w:pPr>
              <w:pStyle w:val="TableText"/>
              <w:rPr>
                <w:color w:val="000000"/>
                <w:szCs w:val="18"/>
              </w:rPr>
            </w:pPr>
            <w:r w:rsidRPr="00D23729">
              <w:rPr>
                <w:color w:val="000000"/>
                <w:szCs w:val="18"/>
              </w:rPr>
              <w:t>17,480</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E9FCAFC" w14:textId="77777777" w:rsidR="003F31E9" w:rsidRPr="00D23729" w:rsidRDefault="003F31E9" w:rsidP="003F31E9">
            <w:pPr>
              <w:pStyle w:val="TableText"/>
              <w:rPr>
                <w:szCs w:val="18"/>
              </w:rPr>
            </w:pPr>
            <w:r w:rsidRPr="00D23729">
              <w:rPr>
                <w:szCs w:val="18"/>
              </w:rPr>
              <w:t>19.1%</w:t>
            </w:r>
          </w:p>
        </w:tc>
        <w:tc>
          <w:tcPr>
            <w:tcW w:w="1551" w:type="dxa"/>
            <w:tcBorders>
              <w:left w:val="single" w:sz="12" w:space="0" w:color="auto"/>
            </w:tcBorders>
            <w:shd w:val="clear" w:color="auto" w:fill="auto"/>
            <w:vAlign w:val="bottom"/>
          </w:tcPr>
          <w:p w14:paraId="433AE89C" w14:textId="386E1C70" w:rsidR="003F31E9" w:rsidRPr="00D23729" w:rsidRDefault="003F31E9" w:rsidP="003F31E9">
            <w:pPr>
              <w:pStyle w:val="TableText"/>
              <w:rPr>
                <w:color w:val="000000"/>
              </w:rPr>
            </w:pPr>
            <w:r w:rsidRPr="00D23729">
              <w:rPr>
                <w:color w:val="000000"/>
              </w:rPr>
              <w:t>San Joaquin</w:t>
            </w:r>
          </w:p>
        </w:tc>
        <w:tc>
          <w:tcPr>
            <w:tcW w:w="1080" w:type="dxa"/>
            <w:shd w:val="clear" w:color="auto" w:fill="auto"/>
            <w:noWrap/>
            <w:vAlign w:val="bottom"/>
            <w:hideMark/>
          </w:tcPr>
          <w:p w14:paraId="45FA71F4" w14:textId="7345BCEA" w:rsidR="003F31E9" w:rsidRPr="00D23729" w:rsidRDefault="003F31E9" w:rsidP="003F31E9">
            <w:pPr>
              <w:pStyle w:val="TableText"/>
              <w:rPr>
                <w:color w:val="000000"/>
                <w:szCs w:val="18"/>
              </w:rPr>
            </w:pPr>
            <w:r w:rsidRPr="00D23729">
              <w:rPr>
                <w:color w:val="000000"/>
                <w:szCs w:val="18"/>
              </w:rPr>
              <w:t>243,420</w:t>
            </w:r>
          </w:p>
        </w:tc>
        <w:tc>
          <w:tcPr>
            <w:tcW w:w="1170" w:type="dxa"/>
            <w:shd w:val="clear" w:color="auto" w:fill="auto"/>
            <w:noWrap/>
            <w:vAlign w:val="bottom"/>
            <w:hideMark/>
          </w:tcPr>
          <w:p w14:paraId="33F269D8" w14:textId="556D611B" w:rsidR="003F31E9" w:rsidRPr="00D23729" w:rsidRDefault="003F31E9" w:rsidP="003F31E9">
            <w:pPr>
              <w:pStyle w:val="TableText"/>
              <w:rPr>
                <w:color w:val="000000"/>
                <w:szCs w:val="18"/>
              </w:rPr>
            </w:pPr>
            <w:r w:rsidRPr="00D23729">
              <w:rPr>
                <w:color w:val="000000"/>
                <w:szCs w:val="18"/>
              </w:rPr>
              <w:t>15,220</w:t>
            </w:r>
          </w:p>
        </w:tc>
        <w:tc>
          <w:tcPr>
            <w:tcW w:w="1170" w:type="dxa"/>
            <w:tcBorders>
              <w:right w:val="nil"/>
            </w:tcBorders>
            <w:shd w:val="clear" w:color="auto" w:fill="auto"/>
            <w:noWrap/>
            <w:vAlign w:val="bottom"/>
            <w:hideMark/>
          </w:tcPr>
          <w:p w14:paraId="75D352E4" w14:textId="60332BA3" w:rsidR="003F31E9" w:rsidRPr="00D23729" w:rsidRDefault="003F31E9" w:rsidP="003F31E9">
            <w:pPr>
              <w:pStyle w:val="TableText"/>
              <w:rPr>
                <w:szCs w:val="18"/>
              </w:rPr>
            </w:pPr>
            <w:r w:rsidRPr="00D23729">
              <w:rPr>
                <w:szCs w:val="18"/>
              </w:rPr>
              <w:t>6.3%</w:t>
            </w:r>
          </w:p>
        </w:tc>
      </w:tr>
      <w:tr w:rsidR="003F31E9" w:rsidRPr="00D23729" w14:paraId="014A1F30" w14:textId="77777777" w:rsidTr="001319A9">
        <w:trPr>
          <w:jc w:val="center"/>
        </w:trPr>
        <w:tc>
          <w:tcPr>
            <w:tcW w:w="1530" w:type="dxa"/>
            <w:tcBorders>
              <w:left w:val="nil"/>
            </w:tcBorders>
            <w:shd w:val="clear" w:color="auto" w:fill="auto"/>
            <w:vAlign w:val="bottom"/>
            <w:hideMark/>
          </w:tcPr>
          <w:p w14:paraId="2D61A42D" w14:textId="77777777" w:rsidR="003F31E9" w:rsidRPr="00D23729" w:rsidRDefault="003F31E9" w:rsidP="003F31E9">
            <w:pPr>
              <w:pStyle w:val="TableText"/>
              <w:rPr>
                <w:color w:val="000000"/>
              </w:rPr>
            </w:pPr>
            <w:r w:rsidRPr="00D23729">
              <w:rPr>
                <w:color w:val="000000"/>
              </w:rPr>
              <w:t>Fresno</w:t>
            </w:r>
          </w:p>
        </w:tc>
        <w:tc>
          <w:tcPr>
            <w:tcW w:w="1193" w:type="dxa"/>
            <w:shd w:val="clear" w:color="auto" w:fill="auto"/>
            <w:noWrap/>
            <w:vAlign w:val="bottom"/>
            <w:hideMark/>
          </w:tcPr>
          <w:p w14:paraId="15E419D5" w14:textId="77777777" w:rsidR="003F31E9" w:rsidRPr="00D23729" w:rsidRDefault="003F31E9" w:rsidP="003F31E9">
            <w:pPr>
              <w:pStyle w:val="TableText"/>
              <w:rPr>
                <w:color w:val="000000"/>
                <w:szCs w:val="18"/>
              </w:rPr>
            </w:pPr>
            <w:r w:rsidRPr="00D23729">
              <w:rPr>
                <w:color w:val="000000"/>
                <w:szCs w:val="18"/>
              </w:rPr>
              <w:t>332,051</w:t>
            </w:r>
          </w:p>
        </w:tc>
        <w:tc>
          <w:tcPr>
            <w:tcW w:w="1193" w:type="dxa"/>
            <w:tcBorders>
              <w:right w:val="single" w:sz="8" w:space="0" w:color="auto"/>
            </w:tcBorders>
            <w:shd w:val="clear" w:color="auto" w:fill="auto"/>
            <w:noWrap/>
            <w:vAlign w:val="bottom"/>
            <w:hideMark/>
          </w:tcPr>
          <w:p w14:paraId="6ABFBECB" w14:textId="77777777" w:rsidR="003F31E9" w:rsidRPr="00D23729" w:rsidRDefault="003F31E9" w:rsidP="003F31E9">
            <w:pPr>
              <w:pStyle w:val="TableText"/>
              <w:rPr>
                <w:color w:val="000000"/>
                <w:szCs w:val="18"/>
              </w:rPr>
            </w:pPr>
            <w:r w:rsidRPr="00D23729">
              <w:rPr>
                <w:color w:val="000000"/>
                <w:szCs w:val="18"/>
              </w:rPr>
              <w:t>23,782</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9075759" w14:textId="77777777" w:rsidR="003F31E9" w:rsidRPr="00D23729" w:rsidRDefault="003F31E9" w:rsidP="003F31E9">
            <w:pPr>
              <w:pStyle w:val="TableText"/>
              <w:rPr>
                <w:szCs w:val="18"/>
              </w:rPr>
            </w:pPr>
            <w:r w:rsidRPr="00D23729">
              <w:rPr>
                <w:szCs w:val="18"/>
              </w:rPr>
              <w:t>7.2%</w:t>
            </w:r>
          </w:p>
        </w:tc>
        <w:tc>
          <w:tcPr>
            <w:tcW w:w="1551" w:type="dxa"/>
            <w:tcBorders>
              <w:left w:val="single" w:sz="12" w:space="0" w:color="auto"/>
            </w:tcBorders>
            <w:shd w:val="clear" w:color="auto" w:fill="auto"/>
            <w:vAlign w:val="bottom"/>
          </w:tcPr>
          <w:p w14:paraId="09AED6DD" w14:textId="261DFC76" w:rsidR="003F31E9" w:rsidRPr="00D23729" w:rsidRDefault="003F31E9" w:rsidP="003F31E9">
            <w:pPr>
              <w:pStyle w:val="TableText"/>
              <w:rPr>
                <w:color w:val="000000"/>
              </w:rPr>
            </w:pPr>
            <w:r w:rsidRPr="00D23729">
              <w:rPr>
                <w:color w:val="000000"/>
              </w:rPr>
              <w:t>San Luis Obispo</w:t>
            </w:r>
          </w:p>
        </w:tc>
        <w:tc>
          <w:tcPr>
            <w:tcW w:w="1080" w:type="dxa"/>
            <w:shd w:val="clear" w:color="auto" w:fill="auto"/>
            <w:noWrap/>
            <w:vAlign w:val="bottom"/>
          </w:tcPr>
          <w:p w14:paraId="1375947C" w14:textId="676AF216" w:rsidR="003F31E9" w:rsidRPr="00D23729" w:rsidRDefault="003F31E9" w:rsidP="003F31E9">
            <w:pPr>
              <w:pStyle w:val="TableText"/>
              <w:rPr>
                <w:color w:val="000000"/>
                <w:szCs w:val="18"/>
              </w:rPr>
            </w:pPr>
            <w:r w:rsidRPr="00D23729">
              <w:rPr>
                <w:color w:val="000000"/>
                <w:szCs w:val="18"/>
              </w:rPr>
              <w:t>121,661</w:t>
            </w:r>
          </w:p>
        </w:tc>
        <w:tc>
          <w:tcPr>
            <w:tcW w:w="1170" w:type="dxa"/>
            <w:shd w:val="clear" w:color="auto" w:fill="auto"/>
            <w:noWrap/>
            <w:vAlign w:val="bottom"/>
          </w:tcPr>
          <w:p w14:paraId="20CE155E" w14:textId="0CD6312E" w:rsidR="003F31E9" w:rsidRPr="00D23729" w:rsidRDefault="003F31E9" w:rsidP="003F31E9">
            <w:pPr>
              <w:pStyle w:val="TableText"/>
              <w:rPr>
                <w:color w:val="000000"/>
                <w:szCs w:val="18"/>
              </w:rPr>
            </w:pPr>
            <w:r w:rsidRPr="00D23729">
              <w:rPr>
                <w:color w:val="000000"/>
                <w:szCs w:val="18"/>
              </w:rPr>
              <w:t>14,405</w:t>
            </w:r>
          </w:p>
        </w:tc>
        <w:tc>
          <w:tcPr>
            <w:tcW w:w="1170" w:type="dxa"/>
            <w:tcBorders>
              <w:right w:val="nil"/>
            </w:tcBorders>
            <w:shd w:val="clear" w:color="auto" w:fill="auto"/>
            <w:noWrap/>
            <w:vAlign w:val="bottom"/>
          </w:tcPr>
          <w:p w14:paraId="1D167318" w14:textId="10295681" w:rsidR="003F31E9" w:rsidRPr="00D23729" w:rsidRDefault="003F31E9" w:rsidP="003F31E9">
            <w:pPr>
              <w:pStyle w:val="TableText"/>
              <w:rPr>
                <w:szCs w:val="18"/>
              </w:rPr>
            </w:pPr>
            <w:r w:rsidRPr="00D23729">
              <w:rPr>
                <w:szCs w:val="18"/>
              </w:rPr>
              <w:t>11.8%</w:t>
            </w:r>
          </w:p>
        </w:tc>
      </w:tr>
      <w:tr w:rsidR="003F31E9" w:rsidRPr="00D23729" w14:paraId="44B4F526" w14:textId="77777777" w:rsidTr="001319A9">
        <w:trPr>
          <w:jc w:val="center"/>
        </w:trPr>
        <w:tc>
          <w:tcPr>
            <w:tcW w:w="1530" w:type="dxa"/>
            <w:tcBorders>
              <w:left w:val="nil"/>
            </w:tcBorders>
            <w:shd w:val="clear" w:color="auto" w:fill="auto"/>
            <w:vAlign w:val="bottom"/>
            <w:hideMark/>
          </w:tcPr>
          <w:p w14:paraId="139B2226" w14:textId="77777777" w:rsidR="003F31E9" w:rsidRPr="00D23729" w:rsidRDefault="003F31E9" w:rsidP="003F31E9">
            <w:pPr>
              <w:pStyle w:val="TableText"/>
              <w:rPr>
                <w:color w:val="000000"/>
              </w:rPr>
            </w:pPr>
            <w:r w:rsidRPr="00D23729">
              <w:rPr>
                <w:color w:val="000000"/>
              </w:rPr>
              <w:t>Glenn</w:t>
            </w:r>
          </w:p>
        </w:tc>
        <w:tc>
          <w:tcPr>
            <w:tcW w:w="1193" w:type="dxa"/>
            <w:shd w:val="clear" w:color="auto" w:fill="auto"/>
            <w:noWrap/>
            <w:vAlign w:val="bottom"/>
            <w:hideMark/>
          </w:tcPr>
          <w:p w14:paraId="4179B7A4" w14:textId="77777777" w:rsidR="003F31E9" w:rsidRPr="00D23729" w:rsidRDefault="003F31E9" w:rsidP="003F31E9">
            <w:pPr>
              <w:pStyle w:val="TableText"/>
              <w:rPr>
                <w:color w:val="000000"/>
                <w:szCs w:val="18"/>
              </w:rPr>
            </w:pPr>
            <w:r w:rsidRPr="00D23729">
              <w:rPr>
                <w:color w:val="000000"/>
                <w:szCs w:val="18"/>
              </w:rPr>
              <w:t>11,170</w:t>
            </w:r>
          </w:p>
        </w:tc>
        <w:tc>
          <w:tcPr>
            <w:tcW w:w="1193" w:type="dxa"/>
            <w:tcBorders>
              <w:right w:val="single" w:sz="8" w:space="0" w:color="auto"/>
            </w:tcBorders>
            <w:shd w:val="clear" w:color="auto" w:fill="auto"/>
            <w:noWrap/>
            <w:vAlign w:val="bottom"/>
            <w:hideMark/>
          </w:tcPr>
          <w:p w14:paraId="7586D785" w14:textId="77777777" w:rsidR="003F31E9" w:rsidRPr="00D23729" w:rsidRDefault="003F31E9" w:rsidP="003F31E9">
            <w:pPr>
              <w:pStyle w:val="TableText"/>
              <w:rPr>
                <w:color w:val="000000"/>
                <w:szCs w:val="18"/>
              </w:rPr>
            </w:pPr>
            <w:r w:rsidRPr="00D23729">
              <w:rPr>
                <w:color w:val="000000"/>
                <w:szCs w:val="18"/>
              </w:rPr>
              <w:t>1,072</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106EFAB" w14:textId="77777777" w:rsidR="003F31E9" w:rsidRPr="00D23729" w:rsidRDefault="003F31E9" w:rsidP="003F31E9">
            <w:pPr>
              <w:pStyle w:val="TableText"/>
              <w:rPr>
                <w:szCs w:val="18"/>
              </w:rPr>
            </w:pPr>
            <w:r w:rsidRPr="00D23729">
              <w:rPr>
                <w:szCs w:val="18"/>
              </w:rPr>
              <w:t>9.6%</w:t>
            </w:r>
          </w:p>
        </w:tc>
        <w:tc>
          <w:tcPr>
            <w:tcW w:w="1551" w:type="dxa"/>
            <w:tcBorders>
              <w:left w:val="single" w:sz="12" w:space="0" w:color="auto"/>
            </w:tcBorders>
            <w:shd w:val="clear" w:color="auto" w:fill="auto"/>
            <w:vAlign w:val="bottom"/>
          </w:tcPr>
          <w:p w14:paraId="122551C2" w14:textId="1CE84D76" w:rsidR="003F31E9" w:rsidRPr="00D23729" w:rsidRDefault="003F31E9" w:rsidP="003F31E9">
            <w:pPr>
              <w:pStyle w:val="TableText"/>
              <w:rPr>
                <w:color w:val="000000"/>
              </w:rPr>
            </w:pPr>
            <w:r w:rsidRPr="00D23729">
              <w:rPr>
                <w:color w:val="000000"/>
              </w:rPr>
              <w:t>San Mateo</w:t>
            </w:r>
          </w:p>
        </w:tc>
        <w:tc>
          <w:tcPr>
            <w:tcW w:w="1080" w:type="dxa"/>
            <w:shd w:val="clear" w:color="auto" w:fill="auto"/>
            <w:noWrap/>
            <w:vAlign w:val="bottom"/>
          </w:tcPr>
          <w:p w14:paraId="3CBE42C3" w14:textId="16F05CFF" w:rsidR="003F31E9" w:rsidRPr="00D23729" w:rsidRDefault="003F31E9" w:rsidP="003F31E9">
            <w:pPr>
              <w:pStyle w:val="TableText"/>
              <w:rPr>
                <w:color w:val="000000"/>
                <w:szCs w:val="18"/>
              </w:rPr>
            </w:pPr>
            <w:r w:rsidRPr="00D23729">
              <w:rPr>
                <w:color w:val="000000"/>
                <w:szCs w:val="18"/>
              </w:rPr>
              <w:t>278,044</w:t>
            </w:r>
          </w:p>
        </w:tc>
        <w:tc>
          <w:tcPr>
            <w:tcW w:w="1170" w:type="dxa"/>
            <w:shd w:val="clear" w:color="auto" w:fill="auto"/>
            <w:noWrap/>
            <w:vAlign w:val="bottom"/>
          </w:tcPr>
          <w:p w14:paraId="6A141106" w14:textId="1E2C4DCC" w:rsidR="003F31E9" w:rsidRPr="00D23729" w:rsidRDefault="003F31E9" w:rsidP="003F31E9">
            <w:pPr>
              <w:pStyle w:val="TableText"/>
              <w:rPr>
                <w:color w:val="000000"/>
                <w:szCs w:val="18"/>
              </w:rPr>
            </w:pPr>
            <w:r w:rsidRPr="00D23729">
              <w:rPr>
                <w:color w:val="000000"/>
                <w:szCs w:val="18"/>
              </w:rPr>
              <w:t>13,033</w:t>
            </w:r>
          </w:p>
        </w:tc>
        <w:tc>
          <w:tcPr>
            <w:tcW w:w="1170" w:type="dxa"/>
            <w:tcBorders>
              <w:right w:val="nil"/>
            </w:tcBorders>
            <w:shd w:val="clear" w:color="auto" w:fill="auto"/>
            <w:noWrap/>
            <w:vAlign w:val="bottom"/>
          </w:tcPr>
          <w:p w14:paraId="1EDDF962" w14:textId="24B15690" w:rsidR="003F31E9" w:rsidRPr="00D23729" w:rsidRDefault="003F31E9" w:rsidP="003F31E9">
            <w:pPr>
              <w:pStyle w:val="TableText"/>
              <w:rPr>
                <w:szCs w:val="18"/>
              </w:rPr>
            </w:pPr>
            <w:r w:rsidRPr="00D23729">
              <w:rPr>
                <w:szCs w:val="18"/>
              </w:rPr>
              <w:t>4.7%</w:t>
            </w:r>
          </w:p>
        </w:tc>
      </w:tr>
      <w:tr w:rsidR="003F31E9" w:rsidRPr="00D23729" w14:paraId="3E16AF42" w14:textId="77777777" w:rsidTr="001319A9">
        <w:trPr>
          <w:jc w:val="center"/>
        </w:trPr>
        <w:tc>
          <w:tcPr>
            <w:tcW w:w="1530" w:type="dxa"/>
            <w:tcBorders>
              <w:left w:val="nil"/>
            </w:tcBorders>
            <w:shd w:val="clear" w:color="auto" w:fill="auto"/>
            <w:vAlign w:val="bottom"/>
            <w:hideMark/>
          </w:tcPr>
          <w:p w14:paraId="6D2D96C2" w14:textId="77777777" w:rsidR="003F31E9" w:rsidRPr="00D23729" w:rsidRDefault="003F31E9" w:rsidP="003F31E9">
            <w:pPr>
              <w:pStyle w:val="TableText"/>
              <w:rPr>
                <w:color w:val="000000"/>
              </w:rPr>
            </w:pPr>
            <w:r w:rsidRPr="00D23729">
              <w:rPr>
                <w:color w:val="000000"/>
              </w:rPr>
              <w:t>Humboldt</w:t>
            </w:r>
          </w:p>
        </w:tc>
        <w:tc>
          <w:tcPr>
            <w:tcW w:w="1193" w:type="dxa"/>
            <w:shd w:val="clear" w:color="auto" w:fill="auto"/>
            <w:noWrap/>
            <w:vAlign w:val="bottom"/>
            <w:hideMark/>
          </w:tcPr>
          <w:p w14:paraId="08FD7628" w14:textId="77777777" w:rsidR="003F31E9" w:rsidRPr="00D23729" w:rsidRDefault="003F31E9" w:rsidP="003F31E9">
            <w:pPr>
              <w:pStyle w:val="TableText"/>
              <w:rPr>
                <w:color w:val="000000"/>
                <w:szCs w:val="18"/>
              </w:rPr>
            </w:pPr>
            <w:r w:rsidRPr="00D23729">
              <w:rPr>
                <w:color w:val="000000"/>
                <w:szCs w:val="18"/>
              </w:rPr>
              <w:t>62,870</w:t>
            </w:r>
          </w:p>
        </w:tc>
        <w:tc>
          <w:tcPr>
            <w:tcW w:w="1193" w:type="dxa"/>
            <w:tcBorders>
              <w:right w:val="single" w:sz="8" w:space="0" w:color="auto"/>
            </w:tcBorders>
            <w:shd w:val="clear" w:color="auto" w:fill="auto"/>
            <w:noWrap/>
            <w:vAlign w:val="bottom"/>
            <w:hideMark/>
          </w:tcPr>
          <w:p w14:paraId="7EAAA2BC" w14:textId="77777777" w:rsidR="003F31E9" w:rsidRPr="00D23729" w:rsidRDefault="003F31E9" w:rsidP="003F31E9">
            <w:pPr>
              <w:pStyle w:val="TableText"/>
              <w:rPr>
                <w:color w:val="000000"/>
                <w:szCs w:val="18"/>
              </w:rPr>
            </w:pPr>
            <w:r w:rsidRPr="00D23729">
              <w:rPr>
                <w:color w:val="000000"/>
                <w:szCs w:val="18"/>
              </w:rPr>
              <w:t>5,931</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3320E10" w14:textId="77777777" w:rsidR="003F31E9" w:rsidRPr="00D23729" w:rsidRDefault="003F31E9" w:rsidP="003F31E9">
            <w:pPr>
              <w:pStyle w:val="TableText"/>
              <w:rPr>
                <w:szCs w:val="18"/>
              </w:rPr>
            </w:pPr>
            <w:r w:rsidRPr="00D23729">
              <w:rPr>
                <w:szCs w:val="18"/>
              </w:rPr>
              <w:t>9.4%</w:t>
            </w:r>
          </w:p>
        </w:tc>
        <w:tc>
          <w:tcPr>
            <w:tcW w:w="1551" w:type="dxa"/>
            <w:tcBorders>
              <w:left w:val="single" w:sz="12" w:space="0" w:color="auto"/>
            </w:tcBorders>
            <w:shd w:val="clear" w:color="auto" w:fill="auto"/>
            <w:vAlign w:val="bottom"/>
          </w:tcPr>
          <w:p w14:paraId="6252811C" w14:textId="4252A8C8" w:rsidR="003F31E9" w:rsidRPr="00D23729" w:rsidRDefault="003F31E9" w:rsidP="003F31E9">
            <w:pPr>
              <w:pStyle w:val="TableText"/>
              <w:rPr>
                <w:color w:val="000000"/>
              </w:rPr>
            </w:pPr>
            <w:r w:rsidRPr="00D23729">
              <w:rPr>
                <w:color w:val="000000"/>
              </w:rPr>
              <w:t>Santa Barbara</w:t>
            </w:r>
          </w:p>
        </w:tc>
        <w:tc>
          <w:tcPr>
            <w:tcW w:w="1080" w:type="dxa"/>
            <w:shd w:val="clear" w:color="auto" w:fill="auto"/>
            <w:noWrap/>
            <w:vAlign w:val="bottom"/>
          </w:tcPr>
          <w:p w14:paraId="122FEE69" w14:textId="7821CBA8" w:rsidR="003F31E9" w:rsidRPr="00D23729" w:rsidRDefault="003F31E9" w:rsidP="003F31E9">
            <w:pPr>
              <w:pStyle w:val="TableText"/>
              <w:rPr>
                <w:color w:val="000000"/>
                <w:szCs w:val="18"/>
              </w:rPr>
            </w:pPr>
            <w:r w:rsidRPr="00D23729">
              <w:rPr>
                <w:color w:val="000000"/>
                <w:szCs w:val="18"/>
              </w:rPr>
              <w:t>158,622</w:t>
            </w:r>
          </w:p>
        </w:tc>
        <w:tc>
          <w:tcPr>
            <w:tcW w:w="1170" w:type="dxa"/>
            <w:shd w:val="clear" w:color="auto" w:fill="auto"/>
            <w:noWrap/>
            <w:vAlign w:val="bottom"/>
          </w:tcPr>
          <w:p w14:paraId="53D9E073" w14:textId="438EE56A" w:rsidR="003F31E9" w:rsidRPr="00D23729" w:rsidRDefault="003F31E9" w:rsidP="003F31E9">
            <w:pPr>
              <w:pStyle w:val="TableText"/>
              <w:rPr>
                <w:color w:val="000000"/>
                <w:szCs w:val="18"/>
              </w:rPr>
            </w:pPr>
            <w:r w:rsidRPr="00D23729">
              <w:rPr>
                <w:color w:val="000000"/>
                <w:szCs w:val="18"/>
              </w:rPr>
              <w:t>9,757</w:t>
            </w:r>
          </w:p>
        </w:tc>
        <w:tc>
          <w:tcPr>
            <w:tcW w:w="1170" w:type="dxa"/>
            <w:tcBorders>
              <w:right w:val="nil"/>
            </w:tcBorders>
            <w:shd w:val="clear" w:color="auto" w:fill="auto"/>
            <w:noWrap/>
            <w:vAlign w:val="bottom"/>
          </w:tcPr>
          <w:p w14:paraId="68847F5B" w14:textId="5C03F73C" w:rsidR="003F31E9" w:rsidRPr="00D23729" w:rsidRDefault="003F31E9" w:rsidP="003F31E9">
            <w:pPr>
              <w:pStyle w:val="TableText"/>
              <w:rPr>
                <w:szCs w:val="18"/>
              </w:rPr>
            </w:pPr>
            <w:r w:rsidRPr="00D23729">
              <w:rPr>
                <w:szCs w:val="18"/>
              </w:rPr>
              <w:t>6.2%</w:t>
            </w:r>
          </w:p>
        </w:tc>
      </w:tr>
      <w:tr w:rsidR="003F31E9" w:rsidRPr="00D23729" w14:paraId="267FB571" w14:textId="77777777" w:rsidTr="001319A9">
        <w:trPr>
          <w:jc w:val="center"/>
        </w:trPr>
        <w:tc>
          <w:tcPr>
            <w:tcW w:w="1530" w:type="dxa"/>
            <w:tcBorders>
              <w:left w:val="nil"/>
            </w:tcBorders>
            <w:shd w:val="clear" w:color="auto" w:fill="auto"/>
            <w:vAlign w:val="bottom"/>
            <w:hideMark/>
          </w:tcPr>
          <w:p w14:paraId="074E51B8" w14:textId="77777777" w:rsidR="003F31E9" w:rsidRPr="00D23729" w:rsidRDefault="003F31E9" w:rsidP="003F31E9">
            <w:pPr>
              <w:pStyle w:val="TableText"/>
              <w:rPr>
                <w:color w:val="000000"/>
              </w:rPr>
            </w:pPr>
            <w:r w:rsidRPr="00D23729">
              <w:rPr>
                <w:color w:val="000000"/>
              </w:rPr>
              <w:t>Imperial</w:t>
            </w:r>
          </w:p>
        </w:tc>
        <w:tc>
          <w:tcPr>
            <w:tcW w:w="1193" w:type="dxa"/>
            <w:shd w:val="clear" w:color="auto" w:fill="auto"/>
            <w:noWrap/>
            <w:vAlign w:val="bottom"/>
            <w:hideMark/>
          </w:tcPr>
          <w:p w14:paraId="62A1B20B" w14:textId="77777777" w:rsidR="003F31E9" w:rsidRPr="00D23729" w:rsidRDefault="003F31E9" w:rsidP="003F31E9">
            <w:pPr>
              <w:pStyle w:val="TableText"/>
              <w:rPr>
                <w:color w:val="000000"/>
                <w:szCs w:val="18"/>
              </w:rPr>
            </w:pPr>
            <w:r w:rsidRPr="00D23729">
              <w:rPr>
                <w:color w:val="000000"/>
                <w:szCs w:val="18"/>
              </w:rPr>
              <w:t>57,737</w:t>
            </w:r>
          </w:p>
        </w:tc>
        <w:tc>
          <w:tcPr>
            <w:tcW w:w="1193" w:type="dxa"/>
            <w:tcBorders>
              <w:right w:val="single" w:sz="8" w:space="0" w:color="auto"/>
            </w:tcBorders>
            <w:shd w:val="clear" w:color="auto" w:fill="auto"/>
            <w:noWrap/>
            <w:vAlign w:val="bottom"/>
            <w:hideMark/>
          </w:tcPr>
          <w:p w14:paraId="703844A8" w14:textId="77777777" w:rsidR="003F31E9" w:rsidRPr="00D23729" w:rsidRDefault="003F31E9" w:rsidP="003F31E9">
            <w:pPr>
              <w:pStyle w:val="TableText"/>
              <w:rPr>
                <w:color w:val="000000"/>
                <w:szCs w:val="18"/>
              </w:rPr>
            </w:pPr>
            <w:r w:rsidRPr="00D23729">
              <w:rPr>
                <w:color w:val="000000"/>
                <w:szCs w:val="18"/>
              </w:rPr>
              <w:t>7,646</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9AEDA1E" w14:textId="77777777" w:rsidR="003F31E9" w:rsidRPr="00D23729" w:rsidRDefault="003F31E9" w:rsidP="003F31E9">
            <w:pPr>
              <w:pStyle w:val="TableText"/>
              <w:rPr>
                <w:szCs w:val="18"/>
              </w:rPr>
            </w:pPr>
            <w:r w:rsidRPr="00D23729">
              <w:rPr>
                <w:szCs w:val="18"/>
              </w:rPr>
              <w:t>13.2%</w:t>
            </w:r>
          </w:p>
        </w:tc>
        <w:tc>
          <w:tcPr>
            <w:tcW w:w="1551" w:type="dxa"/>
            <w:tcBorders>
              <w:left w:val="single" w:sz="12" w:space="0" w:color="auto"/>
            </w:tcBorders>
            <w:shd w:val="clear" w:color="auto" w:fill="auto"/>
            <w:vAlign w:val="bottom"/>
          </w:tcPr>
          <w:p w14:paraId="03F278C2" w14:textId="1F30AFEF" w:rsidR="003F31E9" w:rsidRPr="00D23729" w:rsidRDefault="003F31E9" w:rsidP="003F31E9">
            <w:pPr>
              <w:pStyle w:val="TableText"/>
              <w:rPr>
                <w:color w:val="000000"/>
              </w:rPr>
            </w:pPr>
            <w:r w:rsidRPr="00D23729">
              <w:rPr>
                <w:color w:val="000000"/>
              </w:rPr>
              <w:t>Santa Clara</w:t>
            </w:r>
          </w:p>
        </w:tc>
        <w:tc>
          <w:tcPr>
            <w:tcW w:w="1080" w:type="dxa"/>
            <w:shd w:val="clear" w:color="auto" w:fill="auto"/>
            <w:noWrap/>
            <w:vAlign w:val="bottom"/>
          </w:tcPr>
          <w:p w14:paraId="080F6560" w14:textId="29DA3652" w:rsidR="003F31E9" w:rsidRPr="00D23729" w:rsidRDefault="003F31E9" w:rsidP="003F31E9">
            <w:pPr>
              <w:pStyle w:val="TableText"/>
              <w:rPr>
                <w:color w:val="000000"/>
                <w:szCs w:val="18"/>
              </w:rPr>
            </w:pPr>
            <w:r w:rsidRPr="00D23729">
              <w:rPr>
                <w:color w:val="000000"/>
                <w:szCs w:val="18"/>
              </w:rPr>
              <w:t>667,970</w:t>
            </w:r>
          </w:p>
        </w:tc>
        <w:tc>
          <w:tcPr>
            <w:tcW w:w="1170" w:type="dxa"/>
            <w:shd w:val="clear" w:color="auto" w:fill="auto"/>
            <w:noWrap/>
            <w:vAlign w:val="bottom"/>
          </w:tcPr>
          <w:p w14:paraId="51B0BE82" w14:textId="3362C11B" w:rsidR="003F31E9" w:rsidRPr="00D23729" w:rsidRDefault="003F31E9" w:rsidP="003F31E9">
            <w:pPr>
              <w:pStyle w:val="TableText"/>
              <w:rPr>
                <w:color w:val="000000"/>
                <w:szCs w:val="18"/>
              </w:rPr>
            </w:pPr>
            <w:r w:rsidRPr="00D23729">
              <w:rPr>
                <w:color w:val="000000"/>
                <w:szCs w:val="18"/>
              </w:rPr>
              <w:t>25,877</w:t>
            </w:r>
          </w:p>
        </w:tc>
        <w:tc>
          <w:tcPr>
            <w:tcW w:w="1170" w:type="dxa"/>
            <w:tcBorders>
              <w:right w:val="nil"/>
            </w:tcBorders>
            <w:shd w:val="clear" w:color="auto" w:fill="auto"/>
            <w:noWrap/>
            <w:vAlign w:val="bottom"/>
          </w:tcPr>
          <w:p w14:paraId="048968A2" w14:textId="6E96F010" w:rsidR="003F31E9" w:rsidRPr="00D23729" w:rsidRDefault="003F31E9" w:rsidP="003F31E9">
            <w:pPr>
              <w:pStyle w:val="TableText"/>
              <w:rPr>
                <w:szCs w:val="18"/>
              </w:rPr>
            </w:pPr>
            <w:r w:rsidRPr="00D23729">
              <w:rPr>
                <w:szCs w:val="18"/>
              </w:rPr>
              <w:t>3.9%</w:t>
            </w:r>
          </w:p>
        </w:tc>
      </w:tr>
      <w:tr w:rsidR="003F31E9" w:rsidRPr="00D23729" w14:paraId="0AD0B5ED" w14:textId="77777777" w:rsidTr="001319A9">
        <w:trPr>
          <w:jc w:val="center"/>
        </w:trPr>
        <w:tc>
          <w:tcPr>
            <w:tcW w:w="1530" w:type="dxa"/>
            <w:tcBorders>
              <w:left w:val="nil"/>
            </w:tcBorders>
            <w:shd w:val="clear" w:color="auto" w:fill="auto"/>
            <w:vAlign w:val="bottom"/>
            <w:hideMark/>
          </w:tcPr>
          <w:p w14:paraId="0C60786F" w14:textId="77777777" w:rsidR="003F31E9" w:rsidRPr="00D23729" w:rsidRDefault="003F31E9" w:rsidP="003F31E9">
            <w:pPr>
              <w:pStyle w:val="TableText"/>
              <w:rPr>
                <w:color w:val="000000"/>
              </w:rPr>
            </w:pPr>
            <w:r w:rsidRPr="00D23729">
              <w:rPr>
                <w:color w:val="000000"/>
              </w:rPr>
              <w:t>Inyo</w:t>
            </w:r>
          </w:p>
        </w:tc>
        <w:tc>
          <w:tcPr>
            <w:tcW w:w="1193" w:type="dxa"/>
            <w:shd w:val="clear" w:color="auto" w:fill="auto"/>
            <w:noWrap/>
            <w:vAlign w:val="bottom"/>
            <w:hideMark/>
          </w:tcPr>
          <w:p w14:paraId="6BF8FFA1" w14:textId="77777777" w:rsidR="003F31E9" w:rsidRPr="00D23729" w:rsidRDefault="003F31E9" w:rsidP="003F31E9">
            <w:pPr>
              <w:pStyle w:val="TableText"/>
              <w:rPr>
                <w:color w:val="000000"/>
                <w:szCs w:val="18"/>
              </w:rPr>
            </w:pPr>
            <w:r w:rsidRPr="00D23729">
              <w:rPr>
                <w:color w:val="000000"/>
                <w:szCs w:val="18"/>
              </w:rPr>
              <w:t>9,522</w:t>
            </w:r>
          </w:p>
        </w:tc>
        <w:tc>
          <w:tcPr>
            <w:tcW w:w="1193" w:type="dxa"/>
            <w:tcBorders>
              <w:right w:val="single" w:sz="8" w:space="0" w:color="auto"/>
            </w:tcBorders>
            <w:shd w:val="clear" w:color="auto" w:fill="auto"/>
            <w:noWrap/>
            <w:vAlign w:val="bottom"/>
            <w:hideMark/>
          </w:tcPr>
          <w:p w14:paraId="4A73C45D" w14:textId="77777777" w:rsidR="003F31E9" w:rsidRPr="00D23729" w:rsidRDefault="003F31E9" w:rsidP="003F31E9">
            <w:pPr>
              <w:pStyle w:val="TableText"/>
              <w:rPr>
                <w:color w:val="000000"/>
                <w:szCs w:val="18"/>
              </w:rPr>
            </w:pPr>
            <w:r w:rsidRPr="00D23729">
              <w:rPr>
                <w:color w:val="000000"/>
                <w:szCs w:val="18"/>
              </w:rPr>
              <w:t>1,428</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6410DCF" w14:textId="77777777" w:rsidR="003F31E9" w:rsidRPr="00D23729" w:rsidRDefault="003F31E9" w:rsidP="003F31E9">
            <w:pPr>
              <w:pStyle w:val="TableText"/>
              <w:rPr>
                <w:szCs w:val="18"/>
              </w:rPr>
            </w:pPr>
            <w:r w:rsidRPr="00D23729">
              <w:rPr>
                <w:szCs w:val="18"/>
              </w:rPr>
              <w:t>15.0%</w:t>
            </w:r>
          </w:p>
        </w:tc>
        <w:tc>
          <w:tcPr>
            <w:tcW w:w="1551" w:type="dxa"/>
            <w:tcBorders>
              <w:left w:val="single" w:sz="12" w:space="0" w:color="auto"/>
            </w:tcBorders>
            <w:shd w:val="clear" w:color="auto" w:fill="auto"/>
            <w:vAlign w:val="bottom"/>
          </w:tcPr>
          <w:p w14:paraId="18BB98DD" w14:textId="2F848C0D" w:rsidR="003F31E9" w:rsidRPr="00D23729" w:rsidRDefault="003F31E9" w:rsidP="003F31E9">
            <w:pPr>
              <w:pStyle w:val="TableText"/>
              <w:rPr>
                <w:color w:val="000000"/>
              </w:rPr>
            </w:pPr>
            <w:r w:rsidRPr="00D23729">
              <w:rPr>
                <w:color w:val="000000"/>
              </w:rPr>
              <w:t>Santa Cruz</w:t>
            </w:r>
          </w:p>
        </w:tc>
        <w:tc>
          <w:tcPr>
            <w:tcW w:w="1080" w:type="dxa"/>
            <w:shd w:val="clear" w:color="auto" w:fill="auto"/>
            <w:noWrap/>
            <w:vAlign w:val="bottom"/>
          </w:tcPr>
          <w:p w14:paraId="6FE427E1" w14:textId="0AFD9A7B" w:rsidR="003F31E9" w:rsidRPr="00D23729" w:rsidRDefault="003F31E9" w:rsidP="003F31E9">
            <w:pPr>
              <w:pStyle w:val="TableText"/>
              <w:rPr>
                <w:color w:val="000000"/>
                <w:szCs w:val="18"/>
              </w:rPr>
            </w:pPr>
            <w:r w:rsidRPr="00D23729">
              <w:rPr>
                <w:color w:val="000000"/>
                <w:szCs w:val="18"/>
              </w:rPr>
              <w:t>105,646</w:t>
            </w:r>
          </w:p>
        </w:tc>
        <w:tc>
          <w:tcPr>
            <w:tcW w:w="1170" w:type="dxa"/>
            <w:shd w:val="clear" w:color="auto" w:fill="auto"/>
            <w:noWrap/>
            <w:vAlign w:val="bottom"/>
          </w:tcPr>
          <w:p w14:paraId="1EDADB86" w14:textId="3E1C064C" w:rsidR="003F31E9" w:rsidRPr="00D23729" w:rsidRDefault="003F31E9" w:rsidP="003F31E9">
            <w:pPr>
              <w:pStyle w:val="TableText"/>
              <w:rPr>
                <w:color w:val="000000"/>
                <w:szCs w:val="18"/>
              </w:rPr>
            </w:pPr>
            <w:r w:rsidRPr="00D23729">
              <w:rPr>
                <w:color w:val="000000"/>
                <w:szCs w:val="18"/>
              </w:rPr>
              <w:t>8,786</w:t>
            </w:r>
          </w:p>
        </w:tc>
        <w:tc>
          <w:tcPr>
            <w:tcW w:w="1170" w:type="dxa"/>
            <w:tcBorders>
              <w:right w:val="nil"/>
            </w:tcBorders>
            <w:shd w:val="clear" w:color="auto" w:fill="auto"/>
            <w:noWrap/>
            <w:vAlign w:val="bottom"/>
          </w:tcPr>
          <w:p w14:paraId="4D247607" w14:textId="542A727E" w:rsidR="003F31E9" w:rsidRPr="00D23729" w:rsidRDefault="003F31E9" w:rsidP="003F31E9">
            <w:pPr>
              <w:pStyle w:val="TableText"/>
              <w:rPr>
                <w:szCs w:val="18"/>
              </w:rPr>
            </w:pPr>
            <w:r w:rsidRPr="00D23729">
              <w:rPr>
                <w:szCs w:val="18"/>
              </w:rPr>
              <w:t>8.3%</w:t>
            </w:r>
          </w:p>
        </w:tc>
      </w:tr>
      <w:tr w:rsidR="003F31E9" w:rsidRPr="00D23729" w14:paraId="6DA940EC" w14:textId="77777777" w:rsidTr="001319A9">
        <w:trPr>
          <w:jc w:val="center"/>
        </w:trPr>
        <w:tc>
          <w:tcPr>
            <w:tcW w:w="1530" w:type="dxa"/>
            <w:tcBorders>
              <w:left w:val="nil"/>
            </w:tcBorders>
            <w:shd w:val="clear" w:color="auto" w:fill="auto"/>
            <w:vAlign w:val="bottom"/>
            <w:hideMark/>
          </w:tcPr>
          <w:p w14:paraId="03DFEE3D" w14:textId="77777777" w:rsidR="003F31E9" w:rsidRPr="00D23729" w:rsidRDefault="003F31E9" w:rsidP="003F31E9">
            <w:pPr>
              <w:pStyle w:val="TableText"/>
              <w:rPr>
                <w:color w:val="000000"/>
              </w:rPr>
            </w:pPr>
            <w:r w:rsidRPr="00D23729">
              <w:rPr>
                <w:color w:val="000000"/>
              </w:rPr>
              <w:t>Kern</w:t>
            </w:r>
          </w:p>
        </w:tc>
        <w:tc>
          <w:tcPr>
            <w:tcW w:w="1193" w:type="dxa"/>
            <w:shd w:val="clear" w:color="auto" w:fill="auto"/>
            <w:noWrap/>
            <w:vAlign w:val="bottom"/>
            <w:hideMark/>
          </w:tcPr>
          <w:p w14:paraId="40C342EC" w14:textId="77777777" w:rsidR="003F31E9" w:rsidRPr="00D23729" w:rsidRDefault="003F31E9" w:rsidP="003F31E9">
            <w:pPr>
              <w:pStyle w:val="TableText"/>
              <w:rPr>
                <w:color w:val="000000"/>
                <w:szCs w:val="18"/>
              </w:rPr>
            </w:pPr>
            <w:r w:rsidRPr="00D23729">
              <w:rPr>
                <w:color w:val="000000"/>
                <w:szCs w:val="18"/>
              </w:rPr>
              <w:t>298,301</w:t>
            </w:r>
          </w:p>
        </w:tc>
        <w:tc>
          <w:tcPr>
            <w:tcW w:w="1193" w:type="dxa"/>
            <w:tcBorders>
              <w:right w:val="single" w:sz="8" w:space="0" w:color="auto"/>
            </w:tcBorders>
            <w:shd w:val="clear" w:color="auto" w:fill="auto"/>
            <w:noWrap/>
            <w:vAlign w:val="bottom"/>
            <w:hideMark/>
          </w:tcPr>
          <w:p w14:paraId="1DEB2A62" w14:textId="77777777" w:rsidR="003F31E9" w:rsidRPr="00D23729" w:rsidRDefault="003F31E9" w:rsidP="003F31E9">
            <w:pPr>
              <w:pStyle w:val="TableText"/>
              <w:rPr>
                <w:color w:val="000000"/>
                <w:szCs w:val="18"/>
              </w:rPr>
            </w:pPr>
            <w:r w:rsidRPr="00D23729">
              <w:rPr>
                <w:color w:val="000000"/>
                <w:szCs w:val="18"/>
              </w:rPr>
              <w:t>28,077</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1C5B27D" w14:textId="77777777" w:rsidR="003F31E9" w:rsidRPr="00D23729" w:rsidRDefault="003F31E9" w:rsidP="003F31E9">
            <w:pPr>
              <w:pStyle w:val="TableText"/>
              <w:rPr>
                <w:szCs w:val="18"/>
              </w:rPr>
            </w:pPr>
            <w:r w:rsidRPr="00D23729">
              <w:rPr>
                <w:szCs w:val="18"/>
              </w:rPr>
              <w:t>9.4%</w:t>
            </w:r>
          </w:p>
        </w:tc>
        <w:tc>
          <w:tcPr>
            <w:tcW w:w="1551" w:type="dxa"/>
            <w:tcBorders>
              <w:left w:val="single" w:sz="12" w:space="0" w:color="auto"/>
            </w:tcBorders>
            <w:shd w:val="clear" w:color="auto" w:fill="auto"/>
            <w:vAlign w:val="bottom"/>
          </w:tcPr>
          <w:p w14:paraId="785D4AC9" w14:textId="7B77204A" w:rsidR="003F31E9" w:rsidRPr="00D23729" w:rsidRDefault="003F31E9" w:rsidP="003F31E9">
            <w:pPr>
              <w:pStyle w:val="TableText"/>
              <w:rPr>
                <w:color w:val="000000"/>
              </w:rPr>
            </w:pPr>
            <w:r w:rsidRPr="00D23729">
              <w:rPr>
                <w:color w:val="000000"/>
              </w:rPr>
              <w:t>Shasta</w:t>
            </w:r>
          </w:p>
        </w:tc>
        <w:tc>
          <w:tcPr>
            <w:tcW w:w="1080" w:type="dxa"/>
            <w:shd w:val="clear" w:color="auto" w:fill="auto"/>
            <w:noWrap/>
            <w:vAlign w:val="bottom"/>
          </w:tcPr>
          <w:p w14:paraId="2E0AF802" w14:textId="241EB2E4" w:rsidR="003F31E9" w:rsidRPr="00D23729" w:rsidRDefault="003F31E9" w:rsidP="003F31E9">
            <w:pPr>
              <w:pStyle w:val="TableText"/>
              <w:rPr>
                <w:color w:val="000000"/>
                <w:szCs w:val="18"/>
              </w:rPr>
            </w:pPr>
            <w:r w:rsidRPr="00D23729">
              <w:rPr>
                <w:color w:val="000000"/>
                <w:szCs w:val="18"/>
              </w:rPr>
              <w:t>78,745</w:t>
            </w:r>
          </w:p>
        </w:tc>
        <w:tc>
          <w:tcPr>
            <w:tcW w:w="1170" w:type="dxa"/>
            <w:shd w:val="clear" w:color="auto" w:fill="auto"/>
            <w:noWrap/>
            <w:vAlign w:val="bottom"/>
          </w:tcPr>
          <w:p w14:paraId="75D92948" w14:textId="48C19FFB" w:rsidR="003F31E9" w:rsidRPr="00D23729" w:rsidRDefault="003F31E9" w:rsidP="003F31E9">
            <w:pPr>
              <w:pStyle w:val="TableText"/>
              <w:rPr>
                <w:color w:val="000000"/>
                <w:szCs w:val="18"/>
              </w:rPr>
            </w:pPr>
            <w:r w:rsidRPr="00D23729">
              <w:rPr>
                <w:color w:val="000000"/>
                <w:szCs w:val="18"/>
              </w:rPr>
              <w:t>6,414</w:t>
            </w:r>
          </w:p>
        </w:tc>
        <w:tc>
          <w:tcPr>
            <w:tcW w:w="1170" w:type="dxa"/>
            <w:tcBorders>
              <w:right w:val="nil"/>
            </w:tcBorders>
            <w:shd w:val="clear" w:color="auto" w:fill="auto"/>
            <w:noWrap/>
            <w:vAlign w:val="bottom"/>
          </w:tcPr>
          <w:p w14:paraId="2711B714" w14:textId="47234124" w:rsidR="003F31E9" w:rsidRPr="00D23729" w:rsidRDefault="003F31E9" w:rsidP="003F31E9">
            <w:pPr>
              <w:pStyle w:val="TableText"/>
              <w:rPr>
                <w:szCs w:val="18"/>
              </w:rPr>
            </w:pPr>
            <w:r w:rsidRPr="00D23729">
              <w:rPr>
                <w:szCs w:val="18"/>
              </w:rPr>
              <w:t>8.1%</w:t>
            </w:r>
          </w:p>
        </w:tc>
      </w:tr>
      <w:tr w:rsidR="003F31E9" w:rsidRPr="00D23729" w14:paraId="4344DF50" w14:textId="77777777" w:rsidTr="001319A9">
        <w:trPr>
          <w:jc w:val="center"/>
        </w:trPr>
        <w:tc>
          <w:tcPr>
            <w:tcW w:w="1530" w:type="dxa"/>
            <w:tcBorders>
              <w:left w:val="nil"/>
            </w:tcBorders>
            <w:shd w:val="clear" w:color="auto" w:fill="auto"/>
            <w:vAlign w:val="bottom"/>
            <w:hideMark/>
          </w:tcPr>
          <w:p w14:paraId="112C8297" w14:textId="77777777" w:rsidR="003F31E9" w:rsidRPr="00D23729" w:rsidRDefault="003F31E9" w:rsidP="003F31E9">
            <w:pPr>
              <w:pStyle w:val="TableText"/>
              <w:rPr>
                <w:color w:val="000000"/>
              </w:rPr>
            </w:pPr>
            <w:r w:rsidRPr="00D23729">
              <w:rPr>
                <w:color w:val="000000"/>
              </w:rPr>
              <w:t>Kings</w:t>
            </w:r>
          </w:p>
        </w:tc>
        <w:tc>
          <w:tcPr>
            <w:tcW w:w="1193" w:type="dxa"/>
            <w:shd w:val="clear" w:color="auto" w:fill="auto"/>
            <w:noWrap/>
            <w:vAlign w:val="bottom"/>
            <w:hideMark/>
          </w:tcPr>
          <w:p w14:paraId="739AA136" w14:textId="77777777" w:rsidR="003F31E9" w:rsidRPr="00D23729" w:rsidRDefault="003F31E9" w:rsidP="003F31E9">
            <w:pPr>
              <w:pStyle w:val="TableText"/>
              <w:rPr>
                <w:color w:val="000000"/>
                <w:szCs w:val="18"/>
              </w:rPr>
            </w:pPr>
            <w:r w:rsidRPr="00D23729">
              <w:rPr>
                <w:color w:val="000000"/>
                <w:szCs w:val="18"/>
              </w:rPr>
              <w:t>46,170</w:t>
            </w:r>
          </w:p>
        </w:tc>
        <w:tc>
          <w:tcPr>
            <w:tcW w:w="1193" w:type="dxa"/>
            <w:tcBorders>
              <w:right w:val="single" w:sz="8" w:space="0" w:color="auto"/>
            </w:tcBorders>
            <w:shd w:val="clear" w:color="auto" w:fill="auto"/>
            <w:noWrap/>
            <w:vAlign w:val="bottom"/>
            <w:hideMark/>
          </w:tcPr>
          <w:p w14:paraId="0E2783F7" w14:textId="77777777" w:rsidR="003F31E9" w:rsidRPr="00D23729" w:rsidRDefault="003F31E9" w:rsidP="003F31E9">
            <w:pPr>
              <w:pStyle w:val="TableText"/>
              <w:rPr>
                <w:color w:val="000000"/>
                <w:szCs w:val="18"/>
              </w:rPr>
            </w:pPr>
            <w:r w:rsidRPr="00D23729">
              <w:rPr>
                <w:color w:val="000000"/>
                <w:szCs w:val="18"/>
              </w:rPr>
              <w:t>2,293</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1CFE4B36" w14:textId="77777777" w:rsidR="003F31E9" w:rsidRPr="00D23729" w:rsidRDefault="003F31E9" w:rsidP="003F31E9">
            <w:pPr>
              <w:pStyle w:val="TableText"/>
              <w:rPr>
                <w:szCs w:val="18"/>
              </w:rPr>
            </w:pPr>
            <w:r w:rsidRPr="00D23729">
              <w:rPr>
                <w:szCs w:val="18"/>
              </w:rPr>
              <w:t>5.0%</w:t>
            </w:r>
          </w:p>
        </w:tc>
        <w:tc>
          <w:tcPr>
            <w:tcW w:w="1551" w:type="dxa"/>
            <w:tcBorders>
              <w:left w:val="single" w:sz="12" w:space="0" w:color="auto"/>
            </w:tcBorders>
            <w:shd w:val="clear" w:color="auto" w:fill="auto"/>
            <w:vAlign w:val="bottom"/>
          </w:tcPr>
          <w:p w14:paraId="62981E19" w14:textId="2E86DD91" w:rsidR="003F31E9" w:rsidRPr="00D23729" w:rsidRDefault="003F31E9" w:rsidP="003F31E9">
            <w:pPr>
              <w:pStyle w:val="TableText"/>
              <w:rPr>
                <w:color w:val="000000"/>
              </w:rPr>
            </w:pPr>
            <w:r w:rsidRPr="00D23729">
              <w:rPr>
                <w:color w:val="000000"/>
              </w:rPr>
              <w:t>Sierra</w:t>
            </w:r>
          </w:p>
        </w:tc>
        <w:tc>
          <w:tcPr>
            <w:tcW w:w="1080" w:type="dxa"/>
            <w:shd w:val="clear" w:color="auto" w:fill="auto"/>
            <w:noWrap/>
            <w:vAlign w:val="bottom"/>
          </w:tcPr>
          <w:p w14:paraId="00C789DD" w14:textId="06EED534" w:rsidR="003F31E9" w:rsidRPr="00D23729" w:rsidRDefault="003F31E9" w:rsidP="003F31E9">
            <w:pPr>
              <w:pStyle w:val="TableText"/>
              <w:rPr>
                <w:color w:val="000000"/>
                <w:szCs w:val="18"/>
              </w:rPr>
            </w:pPr>
            <w:r w:rsidRPr="00D23729">
              <w:rPr>
                <w:color w:val="000000"/>
                <w:szCs w:val="18"/>
              </w:rPr>
              <w:t>2,345</w:t>
            </w:r>
          </w:p>
        </w:tc>
        <w:tc>
          <w:tcPr>
            <w:tcW w:w="1170" w:type="dxa"/>
            <w:shd w:val="clear" w:color="auto" w:fill="auto"/>
            <w:noWrap/>
            <w:vAlign w:val="bottom"/>
          </w:tcPr>
          <w:p w14:paraId="0200A287" w14:textId="1375D0FC" w:rsidR="003F31E9" w:rsidRPr="00D23729" w:rsidRDefault="003F31E9" w:rsidP="003F31E9">
            <w:pPr>
              <w:pStyle w:val="TableText"/>
              <w:rPr>
                <w:color w:val="000000"/>
                <w:szCs w:val="18"/>
              </w:rPr>
            </w:pPr>
            <w:r w:rsidRPr="00D23729">
              <w:rPr>
                <w:color w:val="000000"/>
                <w:szCs w:val="18"/>
              </w:rPr>
              <w:t>951</w:t>
            </w:r>
          </w:p>
        </w:tc>
        <w:tc>
          <w:tcPr>
            <w:tcW w:w="1170" w:type="dxa"/>
            <w:tcBorders>
              <w:right w:val="nil"/>
            </w:tcBorders>
            <w:shd w:val="clear" w:color="auto" w:fill="auto"/>
            <w:noWrap/>
            <w:vAlign w:val="bottom"/>
          </w:tcPr>
          <w:p w14:paraId="6D67D435" w14:textId="29DF03A7" w:rsidR="003F31E9" w:rsidRPr="00D23729" w:rsidRDefault="003F31E9" w:rsidP="003F31E9">
            <w:pPr>
              <w:pStyle w:val="TableText"/>
              <w:rPr>
                <w:szCs w:val="18"/>
              </w:rPr>
            </w:pPr>
            <w:r w:rsidRPr="00D23729">
              <w:rPr>
                <w:szCs w:val="18"/>
              </w:rPr>
              <w:t>40.6%</w:t>
            </w:r>
          </w:p>
        </w:tc>
      </w:tr>
      <w:tr w:rsidR="003F31E9" w:rsidRPr="00D23729" w14:paraId="723BE515" w14:textId="77777777" w:rsidTr="001319A9">
        <w:trPr>
          <w:jc w:val="center"/>
        </w:trPr>
        <w:tc>
          <w:tcPr>
            <w:tcW w:w="1530" w:type="dxa"/>
            <w:tcBorders>
              <w:left w:val="nil"/>
            </w:tcBorders>
            <w:shd w:val="clear" w:color="auto" w:fill="auto"/>
            <w:vAlign w:val="bottom"/>
            <w:hideMark/>
          </w:tcPr>
          <w:p w14:paraId="4437DA80" w14:textId="77777777" w:rsidR="003F31E9" w:rsidRPr="00D23729" w:rsidRDefault="003F31E9" w:rsidP="003F31E9">
            <w:pPr>
              <w:pStyle w:val="TableText"/>
              <w:rPr>
                <w:color w:val="000000"/>
              </w:rPr>
            </w:pPr>
            <w:r w:rsidRPr="00D23729">
              <w:rPr>
                <w:color w:val="000000"/>
              </w:rPr>
              <w:t>Lake</w:t>
            </w:r>
          </w:p>
        </w:tc>
        <w:tc>
          <w:tcPr>
            <w:tcW w:w="1193" w:type="dxa"/>
            <w:shd w:val="clear" w:color="auto" w:fill="auto"/>
            <w:noWrap/>
            <w:vAlign w:val="bottom"/>
            <w:hideMark/>
          </w:tcPr>
          <w:p w14:paraId="2DC6438E" w14:textId="77777777" w:rsidR="003F31E9" w:rsidRPr="00D23729" w:rsidRDefault="003F31E9" w:rsidP="003F31E9">
            <w:pPr>
              <w:pStyle w:val="TableText"/>
              <w:rPr>
                <w:color w:val="000000"/>
                <w:szCs w:val="18"/>
              </w:rPr>
            </w:pPr>
            <w:r w:rsidRPr="00D23729">
              <w:rPr>
                <w:color w:val="000000"/>
                <w:szCs w:val="18"/>
              </w:rPr>
              <w:t>34,560</w:t>
            </w:r>
          </w:p>
        </w:tc>
        <w:tc>
          <w:tcPr>
            <w:tcW w:w="1193" w:type="dxa"/>
            <w:tcBorders>
              <w:right w:val="single" w:sz="8" w:space="0" w:color="auto"/>
            </w:tcBorders>
            <w:shd w:val="clear" w:color="auto" w:fill="auto"/>
            <w:noWrap/>
            <w:vAlign w:val="bottom"/>
            <w:hideMark/>
          </w:tcPr>
          <w:p w14:paraId="2A1A7D5F" w14:textId="77777777" w:rsidR="003F31E9" w:rsidRPr="00D23729" w:rsidRDefault="003F31E9" w:rsidP="003F31E9">
            <w:pPr>
              <w:pStyle w:val="TableText"/>
              <w:rPr>
                <w:color w:val="000000"/>
                <w:szCs w:val="18"/>
              </w:rPr>
            </w:pPr>
            <w:r w:rsidRPr="00D23729">
              <w:rPr>
                <w:color w:val="000000"/>
                <w:szCs w:val="18"/>
              </w:rPr>
              <w:t>9,966</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54876BC" w14:textId="77777777" w:rsidR="003F31E9" w:rsidRPr="00D23729" w:rsidRDefault="003F31E9" w:rsidP="003F31E9">
            <w:pPr>
              <w:pStyle w:val="TableText"/>
              <w:rPr>
                <w:szCs w:val="18"/>
              </w:rPr>
            </w:pPr>
            <w:r w:rsidRPr="00D23729">
              <w:rPr>
                <w:szCs w:val="18"/>
              </w:rPr>
              <w:t>28.8%</w:t>
            </w:r>
          </w:p>
        </w:tc>
        <w:tc>
          <w:tcPr>
            <w:tcW w:w="1551" w:type="dxa"/>
            <w:tcBorders>
              <w:left w:val="single" w:sz="12" w:space="0" w:color="auto"/>
            </w:tcBorders>
            <w:shd w:val="clear" w:color="auto" w:fill="auto"/>
            <w:vAlign w:val="bottom"/>
          </w:tcPr>
          <w:p w14:paraId="57FFE03D" w14:textId="6B9BE8AB" w:rsidR="003F31E9" w:rsidRPr="00D23729" w:rsidRDefault="003F31E9" w:rsidP="003F31E9">
            <w:pPr>
              <w:pStyle w:val="TableText"/>
              <w:rPr>
                <w:color w:val="000000"/>
              </w:rPr>
            </w:pPr>
            <w:r w:rsidRPr="00D23729">
              <w:rPr>
                <w:color w:val="000000"/>
              </w:rPr>
              <w:t>Siskiyou</w:t>
            </w:r>
          </w:p>
        </w:tc>
        <w:tc>
          <w:tcPr>
            <w:tcW w:w="1080" w:type="dxa"/>
            <w:shd w:val="clear" w:color="auto" w:fill="auto"/>
            <w:noWrap/>
            <w:vAlign w:val="bottom"/>
          </w:tcPr>
          <w:p w14:paraId="0E4A6B1D" w14:textId="5739E181" w:rsidR="003F31E9" w:rsidRPr="00D23729" w:rsidRDefault="003F31E9" w:rsidP="003F31E9">
            <w:pPr>
              <w:pStyle w:val="TableText"/>
              <w:rPr>
                <w:color w:val="000000"/>
                <w:szCs w:val="18"/>
              </w:rPr>
            </w:pPr>
            <w:r w:rsidRPr="00D23729">
              <w:rPr>
                <w:color w:val="000000"/>
                <w:szCs w:val="18"/>
              </w:rPr>
              <w:t>24,185</w:t>
            </w:r>
          </w:p>
        </w:tc>
        <w:tc>
          <w:tcPr>
            <w:tcW w:w="1170" w:type="dxa"/>
            <w:shd w:val="clear" w:color="auto" w:fill="auto"/>
            <w:noWrap/>
            <w:vAlign w:val="bottom"/>
          </w:tcPr>
          <w:p w14:paraId="57FC010A" w14:textId="628CF597" w:rsidR="003F31E9" w:rsidRPr="00D23729" w:rsidRDefault="003F31E9" w:rsidP="003F31E9">
            <w:pPr>
              <w:pStyle w:val="TableText"/>
              <w:rPr>
                <w:color w:val="000000"/>
                <w:szCs w:val="18"/>
              </w:rPr>
            </w:pPr>
            <w:r w:rsidRPr="00D23729">
              <w:rPr>
                <w:color w:val="000000"/>
                <w:szCs w:val="18"/>
              </w:rPr>
              <w:t>4,816</w:t>
            </w:r>
          </w:p>
        </w:tc>
        <w:tc>
          <w:tcPr>
            <w:tcW w:w="1170" w:type="dxa"/>
            <w:tcBorders>
              <w:right w:val="nil"/>
            </w:tcBorders>
            <w:shd w:val="clear" w:color="auto" w:fill="auto"/>
            <w:noWrap/>
            <w:vAlign w:val="bottom"/>
          </w:tcPr>
          <w:p w14:paraId="79C0BDBD" w14:textId="54B698FE" w:rsidR="003F31E9" w:rsidRPr="00D23729" w:rsidRDefault="003F31E9" w:rsidP="003F31E9">
            <w:pPr>
              <w:pStyle w:val="TableText"/>
              <w:rPr>
                <w:szCs w:val="18"/>
              </w:rPr>
            </w:pPr>
            <w:r w:rsidRPr="00D23729">
              <w:rPr>
                <w:szCs w:val="18"/>
              </w:rPr>
              <w:t>19.9%</w:t>
            </w:r>
          </w:p>
        </w:tc>
      </w:tr>
      <w:tr w:rsidR="003F31E9" w:rsidRPr="00D23729" w14:paraId="49B109F0" w14:textId="77777777" w:rsidTr="001319A9">
        <w:trPr>
          <w:jc w:val="center"/>
        </w:trPr>
        <w:tc>
          <w:tcPr>
            <w:tcW w:w="1530" w:type="dxa"/>
            <w:tcBorders>
              <w:left w:val="nil"/>
            </w:tcBorders>
            <w:shd w:val="clear" w:color="auto" w:fill="auto"/>
            <w:vAlign w:val="bottom"/>
            <w:hideMark/>
          </w:tcPr>
          <w:p w14:paraId="7ED04658" w14:textId="77777777" w:rsidR="003F31E9" w:rsidRPr="00D23729" w:rsidRDefault="003F31E9" w:rsidP="003F31E9">
            <w:pPr>
              <w:pStyle w:val="TableText"/>
              <w:rPr>
                <w:color w:val="000000"/>
              </w:rPr>
            </w:pPr>
            <w:r w:rsidRPr="00D23729">
              <w:rPr>
                <w:color w:val="000000"/>
              </w:rPr>
              <w:t>Lassen</w:t>
            </w:r>
          </w:p>
        </w:tc>
        <w:tc>
          <w:tcPr>
            <w:tcW w:w="1193" w:type="dxa"/>
            <w:shd w:val="clear" w:color="auto" w:fill="auto"/>
            <w:noWrap/>
            <w:vAlign w:val="bottom"/>
            <w:hideMark/>
          </w:tcPr>
          <w:p w14:paraId="17279795" w14:textId="77777777" w:rsidR="003F31E9" w:rsidRPr="00D23729" w:rsidRDefault="003F31E9" w:rsidP="003F31E9">
            <w:pPr>
              <w:pStyle w:val="TableText"/>
              <w:rPr>
                <w:color w:val="000000"/>
                <w:szCs w:val="18"/>
              </w:rPr>
            </w:pPr>
            <w:r w:rsidRPr="00D23729">
              <w:rPr>
                <w:color w:val="000000"/>
                <w:szCs w:val="18"/>
              </w:rPr>
              <w:t>12,756</w:t>
            </w:r>
          </w:p>
        </w:tc>
        <w:tc>
          <w:tcPr>
            <w:tcW w:w="1193" w:type="dxa"/>
            <w:tcBorders>
              <w:right w:val="single" w:sz="8" w:space="0" w:color="auto"/>
            </w:tcBorders>
            <w:shd w:val="clear" w:color="auto" w:fill="auto"/>
            <w:noWrap/>
            <w:vAlign w:val="bottom"/>
            <w:hideMark/>
          </w:tcPr>
          <w:p w14:paraId="64EEDB1C" w14:textId="77777777" w:rsidR="003F31E9" w:rsidRPr="00D23729" w:rsidRDefault="003F31E9" w:rsidP="003F31E9">
            <w:pPr>
              <w:pStyle w:val="TableText"/>
              <w:rPr>
                <w:color w:val="000000"/>
                <w:szCs w:val="18"/>
              </w:rPr>
            </w:pPr>
            <w:r w:rsidRPr="00D23729">
              <w:rPr>
                <w:color w:val="000000"/>
                <w:szCs w:val="18"/>
              </w:rPr>
              <w:t>3,125</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3A58B2EA" w14:textId="77777777" w:rsidR="003F31E9" w:rsidRPr="00D23729" w:rsidRDefault="003F31E9" w:rsidP="003F31E9">
            <w:pPr>
              <w:pStyle w:val="TableText"/>
              <w:rPr>
                <w:szCs w:val="18"/>
              </w:rPr>
            </w:pPr>
            <w:r w:rsidRPr="00D23729">
              <w:rPr>
                <w:szCs w:val="18"/>
              </w:rPr>
              <w:t>24.5%</w:t>
            </w:r>
          </w:p>
        </w:tc>
        <w:tc>
          <w:tcPr>
            <w:tcW w:w="1551" w:type="dxa"/>
            <w:tcBorders>
              <w:left w:val="single" w:sz="12" w:space="0" w:color="auto"/>
            </w:tcBorders>
            <w:shd w:val="clear" w:color="auto" w:fill="auto"/>
            <w:vAlign w:val="bottom"/>
          </w:tcPr>
          <w:p w14:paraId="77D48A81" w14:textId="7C181AC4" w:rsidR="003F31E9" w:rsidRPr="00D23729" w:rsidRDefault="003F31E9" w:rsidP="003F31E9">
            <w:pPr>
              <w:pStyle w:val="TableText"/>
              <w:rPr>
                <w:color w:val="000000"/>
              </w:rPr>
            </w:pPr>
            <w:r w:rsidRPr="00D23729">
              <w:rPr>
                <w:color w:val="000000"/>
              </w:rPr>
              <w:t>Solano</w:t>
            </w:r>
          </w:p>
        </w:tc>
        <w:tc>
          <w:tcPr>
            <w:tcW w:w="1080" w:type="dxa"/>
            <w:shd w:val="clear" w:color="auto" w:fill="auto"/>
            <w:noWrap/>
            <w:vAlign w:val="bottom"/>
          </w:tcPr>
          <w:p w14:paraId="2FD26C5A" w14:textId="43C7D0E2" w:rsidR="003F31E9" w:rsidRPr="00D23729" w:rsidRDefault="003F31E9" w:rsidP="003F31E9">
            <w:pPr>
              <w:pStyle w:val="TableText"/>
              <w:rPr>
                <w:color w:val="000000"/>
                <w:szCs w:val="18"/>
              </w:rPr>
            </w:pPr>
            <w:r w:rsidRPr="00D23729">
              <w:rPr>
                <w:color w:val="000000"/>
                <w:szCs w:val="18"/>
              </w:rPr>
              <w:t>158,786</w:t>
            </w:r>
          </w:p>
        </w:tc>
        <w:tc>
          <w:tcPr>
            <w:tcW w:w="1170" w:type="dxa"/>
            <w:shd w:val="clear" w:color="auto" w:fill="auto"/>
            <w:noWrap/>
            <w:vAlign w:val="bottom"/>
          </w:tcPr>
          <w:p w14:paraId="36938B58" w14:textId="63A5355B" w:rsidR="003F31E9" w:rsidRPr="00D23729" w:rsidRDefault="003F31E9" w:rsidP="003F31E9">
            <w:pPr>
              <w:pStyle w:val="TableText"/>
              <w:rPr>
                <w:color w:val="000000"/>
                <w:szCs w:val="18"/>
              </w:rPr>
            </w:pPr>
            <w:r w:rsidRPr="00D23729">
              <w:rPr>
                <w:color w:val="000000"/>
                <w:szCs w:val="18"/>
              </w:rPr>
              <w:t>10,108</w:t>
            </w:r>
          </w:p>
        </w:tc>
        <w:tc>
          <w:tcPr>
            <w:tcW w:w="1170" w:type="dxa"/>
            <w:tcBorders>
              <w:right w:val="nil"/>
            </w:tcBorders>
            <w:shd w:val="clear" w:color="auto" w:fill="auto"/>
            <w:noWrap/>
            <w:vAlign w:val="bottom"/>
          </w:tcPr>
          <w:p w14:paraId="55556FDB" w14:textId="53FCDA4B" w:rsidR="003F31E9" w:rsidRPr="00D23729" w:rsidRDefault="003F31E9" w:rsidP="003F31E9">
            <w:pPr>
              <w:pStyle w:val="TableText"/>
              <w:rPr>
                <w:szCs w:val="18"/>
              </w:rPr>
            </w:pPr>
            <w:r w:rsidRPr="00D23729">
              <w:rPr>
                <w:szCs w:val="18"/>
              </w:rPr>
              <w:t>6.4%</w:t>
            </w:r>
          </w:p>
        </w:tc>
      </w:tr>
      <w:tr w:rsidR="003F31E9" w:rsidRPr="00D23729" w14:paraId="5D38E600" w14:textId="77777777" w:rsidTr="001319A9">
        <w:trPr>
          <w:jc w:val="center"/>
        </w:trPr>
        <w:tc>
          <w:tcPr>
            <w:tcW w:w="1530" w:type="dxa"/>
            <w:tcBorders>
              <w:left w:val="nil"/>
            </w:tcBorders>
            <w:shd w:val="clear" w:color="auto" w:fill="auto"/>
            <w:vAlign w:val="bottom"/>
            <w:hideMark/>
          </w:tcPr>
          <w:p w14:paraId="27D70CD0" w14:textId="77777777" w:rsidR="003F31E9" w:rsidRPr="00D23729" w:rsidRDefault="003F31E9" w:rsidP="003F31E9">
            <w:pPr>
              <w:pStyle w:val="TableText"/>
              <w:rPr>
                <w:color w:val="000000"/>
              </w:rPr>
            </w:pPr>
            <w:r w:rsidRPr="00D23729">
              <w:rPr>
                <w:color w:val="000000"/>
              </w:rPr>
              <w:t>Los Angeles</w:t>
            </w:r>
          </w:p>
        </w:tc>
        <w:tc>
          <w:tcPr>
            <w:tcW w:w="1193" w:type="dxa"/>
            <w:shd w:val="clear" w:color="auto" w:fill="auto"/>
            <w:noWrap/>
            <w:vAlign w:val="bottom"/>
            <w:hideMark/>
          </w:tcPr>
          <w:p w14:paraId="00134C20" w14:textId="77777777" w:rsidR="003F31E9" w:rsidRPr="00D23729" w:rsidRDefault="003F31E9" w:rsidP="003F31E9">
            <w:pPr>
              <w:pStyle w:val="TableText"/>
              <w:rPr>
                <w:color w:val="000000"/>
                <w:szCs w:val="18"/>
              </w:rPr>
            </w:pPr>
            <w:r w:rsidRPr="00D23729">
              <w:rPr>
                <w:color w:val="000000"/>
                <w:szCs w:val="18"/>
              </w:rPr>
              <w:t>3,546,853</w:t>
            </w:r>
          </w:p>
        </w:tc>
        <w:tc>
          <w:tcPr>
            <w:tcW w:w="1193" w:type="dxa"/>
            <w:tcBorders>
              <w:right w:val="single" w:sz="8" w:space="0" w:color="auto"/>
            </w:tcBorders>
            <w:shd w:val="clear" w:color="auto" w:fill="auto"/>
            <w:noWrap/>
            <w:vAlign w:val="bottom"/>
            <w:hideMark/>
          </w:tcPr>
          <w:p w14:paraId="7F5C22D1" w14:textId="77777777" w:rsidR="003F31E9" w:rsidRPr="00D23729" w:rsidRDefault="003F31E9" w:rsidP="003F31E9">
            <w:pPr>
              <w:pStyle w:val="TableText"/>
              <w:rPr>
                <w:color w:val="000000"/>
                <w:szCs w:val="18"/>
              </w:rPr>
            </w:pPr>
            <w:r w:rsidRPr="00D23729">
              <w:rPr>
                <w:color w:val="000000"/>
                <w:szCs w:val="18"/>
              </w:rPr>
              <w:t>208,195</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CB098CD" w14:textId="77777777" w:rsidR="003F31E9" w:rsidRPr="00D23729" w:rsidRDefault="003F31E9" w:rsidP="003F31E9">
            <w:pPr>
              <w:pStyle w:val="TableText"/>
              <w:rPr>
                <w:szCs w:val="18"/>
              </w:rPr>
            </w:pPr>
            <w:r w:rsidRPr="00D23729">
              <w:rPr>
                <w:szCs w:val="18"/>
              </w:rPr>
              <w:t>5.9%</w:t>
            </w:r>
          </w:p>
        </w:tc>
        <w:tc>
          <w:tcPr>
            <w:tcW w:w="1551" w:type="dxa"/>
            <w:tcBorders>
              <w:left w:val="single" w:sz="12" w:space="0" w:color="auto"/>
            </w:tcBorders>
            <w:shd w:val="clear" w:color="auto" w:fill="auto"/>
            <w:vAlign w:val="bottom"/>
          </w:tcPr>
          <w:p w14:paraId="6DE2AEBC" w14:textId="264F6137" w:rsidR="003F31E9" w:rsidRPr="00D23729" w:rsidRDefault="003F31E9" w:rsidP="003F31E9">
            <w:pPr>
              <w:pStyle w:val="TableText"/>
              <w:rPr>
                <w:color w:val="000000"/>
              </w:rPr>
            </w:pPr>
            <w:r w:rsidRPr="00D23729">
              <w:rPr>
                <w:color w:val="000000"/>
              </w:rPr>
              <w:t>Sonoma</w:t>
            </w:r>
          </w:p>
        </w:tc>
        <w:tc>
          <w:tcPr>
            <w:tcW w:w="1080" w:type="dxa"/>
            <w:shd w:val="clear" w:color="auto" w:fill="auto"/>
            <w:noWrap/>
            <w:vAlign w:val="bottom"/>
          </w:tcPr>
          <w:p w14:paraId="2C566054" w14:textId="4E513905" w:rsidR="003F31E9" w:rsidRPr="00D23729" w:rsidRDefault="003F31E9" w:rsidP="003F31E9">
            <w:pPr>
              <w:pStyle w:val="TableText"/>
              <w:rPr>
                <w:color w:val="000000"/>
                <w:szCs w:val="18"/>
              </w:rPr>
            </w:pPr>
            <w:r w:rsidRPr="00D23729">
              <w:rPr>
                <w:color w:val="000000"/>
                <w:szCs w:val="18"/>
              </w:rPr>
              <w:t>203,579</w:t>
            </w:r>
          </w:p>
        </w:tc>
        <w:tc>
          <w:tcPr>
            <w:tcW w:w="1170" w:type="dxa"/>
            <w:shd w:val="clear" w:color="auto" w:fill="auto"/>
            <w:noWrap/>
            <w:vAlign w:val="bottom"/>
          </w:tcPr>
          <w:p w14:paraId="08BA3E13" w14:textId="1D055DF1" w:rsidR="003F31E9" w:rsidRPr="00D23729" w:rsidRDefault="003F31E9" w:rsidP="003F31E9">
            <w:pPr>
              <w:pStyle w:val="TableText"/>
              <w:rPr>
                <w:color w:val="000000"/>
                <w:szCs w:val="18"/>
              </w:rPr>
            </w:pPr>
            <w:r w:rsidRPr="00D23729">
              <w:rPr>
                <w:color w:val="000000"/>
                <w:szCs w:val="18"/>
              </w:rPr>
              <w:t>16,903</w:t>
            </w:r>
          </w:p>
        </w:tc>
        <w:tc>
          <w:tcPr>
            <w:tcW w:w="1170" w:type="dxa"/>
            <w:tcBorders>
              <w:right w:val="nil"/>
            </w:tcBorders>
            <w:shd w:val="clear" w:color="auto" w:fill="auto"/>
            <w:noWrap/>
            <w:vAlign w:val="bottom"/>
          </w:tcPr>
          <w:p w14:paraId="6BEC2449" w14:textId="71F1BA51" w:rsidR="003F31E9" w:rsidRPr="00D23729" w:rsidRDefault="003F31E9" w:rsidP="003F31E9">
            <w:pPr>
              <w:pStyle w:val="TableText"/>
              <w:rPr>
                <w:szCs w:val="18"/>
              </w:rPr>
            </w:pPr>
            <w:r w:rsidRPr="00D23729">
              <w:rPr>
                <w:szCs w:val="18"/>
              </w:rPr>
              <w:t>8.3%</w:t>
            </w:r>
          </w:p>
        </w:tc>
      </w:tr>
      <w:tr w:rsidR="003F31E9" w:rsidRPr="00D23729" w14:paraId="27CDE5E4" w14:textId="77777777" w:rsidTr="001319A9">
        <w:trPr>
          <w:jc w:val="center"/>
        </w:trPr>
        <w:tc>
          <w:tcPr>
            <w:tcW w:w="1530" w:type="dxa"/>
            <w:tcBorders>
              <w:left w:val="nil"/>
            </w:tcBorders>
            <w:shd w:val="clear" w:color="auto" w:fill="auto"/>
            <w:vAlign w:val="bottom"/>
            <w:hideMark/>
          </w:tcPr>
          <w:p w14:paraId="6ADC73FA" w14:textId="77777777" w:rsidR="003F31E9" w:rsidRPr="00D23729" w:rsidRDefault="003F31E9" w:rsidP="003F31E9">
            <w:pPr>
              <w:pStyle w:val="TableText"/>
              <w:rPr>
                <w:color w:val="000000"/>
              </w:rPr>
            </w:pPr>
            <w:r w:rsidRPr="00D23729">
              <w:rPr>
                <w:color w:val="000000"/>
              </w:rPr>
              <w:t>Madera</w:t>
            </w:r>
          </w:p>
        </w:tc>
        <w:tc>
          <w:tcPr>
            <w:tcW w:w="1193" w:type="dxa"/>
            <w:shd w:val="clear" w:color="auto" w:fill="auto"/>
            <w:noWrap/>
            <w:vAlign w:val="bottom"/>
            <w:hideMark/>
          </w:tcPr>
          <w:p w14:paraId="265A1FD4" w14:textId="77777777" w:rsidR="003F31E9" w:rsidRPr="00D23729" w:rsidRDefault="003F31E9" w:rsidP="003F31E9">
            <w:pPr>
              <w:pStyle w:val="TableText"/>
              <w:rPr>
                <w:color w:val="000000"/>
                <w:szCs w:val="18"/>
              </w:rPr>
            </w:pPr>
            <w:r w:rsidRPr="00D23729">
              <w:rPr>
                <w:color w:val="000000"/>
                <w:szCs w:val="18"/>
              </w:rPr>
              <w:t>50,315</w:t>
            </w:r>
          </w:p>
        </w:tc>
        <w:tc>
          <w:tcPr>
            <w:tcW w:w="1193" w:type="dxa"/>
            <w:tcBorders>
              <w:right w:val="single" w:sz="8" w:space="0" w:color="auto"/>
            </w:tcBorders>
            <w:shd w:val="clear" w:color="auto" w:fill="auto"/>
            <w:noWrap/>
            <w:vAlign w:val="bottom"/>
            <w:hideMark/>
          </w:tcPr>
          <w:p w14:paraId="6A83D1F8" w14:textId="77777777" w:rsidR="003F31E9" w:rsidRPr="00D23729" w:rsidRDefault="003F31E9" w:rsidP="003F31E9">
            <w:pPr>
              <w:pStyle w:val="TableText"/>
              <w:rPr>
                <w:color w:val="000000"/>
                <w:szCs w:val="18"/>
              </w:rPr>
            </w:pPr>
            <w:r w:rsidRPr="00D23729">
              <w:rPr>
                <w:color w:val="000000"/>
                <w:szCs w:val="18"/>
              </w:rPr>
              <w:t>5,098</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E1AFBA5" w14:textId="77777777" w:rsidR="003F31E9" w:rsidRPr="00D23729" w:rsidRDefault="003F31E9" w:rsidP="003F31E9">
            <w:pPr>
              <w:pStyle w:val="TableText"/>
              <w:rPr>
                <w:szCs w:val="18"/>
              </w:rPr>
            </w:pPr>
            <w:r w:rsidRPr="00D23729">
              <w:rPr>
                <w:szCs w:val="18"/>
              </w:rPr>
              <w:t>10.1%</w:t>
            </w:r>
          </w:p>
        </w:tc>
        <w:tc>
          <w:tcPr>
            <w:tcW w:w="1551" w:type="dxa"/>
            <w:tcBorders>
              <w:left w:val="single" w:sz="12" w:space="0" w:color="auto"/>
            </w:tcBorders>
            <w:shd w:val="clear" w:color="auto" w:fill="auto"/>
            <w:vAlign w:val="bottom"/>
          </w:tcPr>
          <w:p w14:paraId="4C34E001" w14:textId="6185B879" w:rsidR="003F31E9" w:rsidRPr="00D23729" w:rsidRDefault="003F31E9" w:rsidP="003F31E9">
            <w:pPr>
              <w:pStyle w:val="TableText"/>
              <w:rPr>
                <w:color w:val="000000"/>
              </w:rPr>
            </w:pPr>
            <w:r w:rsidRPr="00D23729">
              <w:rPr>
                <w:color w:val="000000"/>
              </w:rPr>
              <w:t>Stanislaus</w:t>
            </w:r>
          </w:p>
        </w:tc>
        <w:tc>
          <w:tcPr>
            <w:tcW w:w="1080" w:type="dxa"/>
            <w:shd w:val="clear" w:color="auto" w:fill="auto"/>
            <w:noWrap/>
            <w:vAlign w:val="bottom"/>
          </w:tcPr>
          <w:p w14:paraId="238251E5" w14:textId="6202EE52" w:rsidR="003F31E9" w:rsidRPr="00D23729" w:rsidRDefault="003F31E9" w:rsidP="003F31E9">
            <w:pPr>
              <w:pStyle w:val="TableText"/>
              <w:rPr>
                <w:color w:val="000000"/>
                <w:szCs w:val="18"/>
              </w:rPr>
            </w:pPr>
            <w:r w:rsidRPr="00D23729">
              <w:rPr>
                <w:color w:val="000000"/>
                <w:szCs w:val="18"/>
              </w:rPr>
              <w:t>181,916</w:t>
            </w:r>
          </w:p>
        </w:tc>
        <w:tc>
          <w:tcPr>
            <w:tcW w:w="1170" w:type="dxa"/>
            <w:shd w:val="clear" w:color="auto" w:fill="auto"/>
            <w:noWrap/>
            <w:vAlign w:val="bottom"/>
          </w:tcPr>
          <w:p w14:paraId="598C7543" w14:textId="257D9D00" w:rsidR="003F31E9" w:rsidRPr="00D23729" w:rsidRDefault="003F31E9" w:rsidP="003F31E9">
            <w:pPr>
              <w:pStyle w:val="TableText"/>
              <w:rPr>
                <w:color w:val="000000"/>
                <w:szCs w:val="18"/>
              </w:rPr>
            </w:pPr>
            <w:r w:rsidRPr="00D23729">
              <w:rPr>
                <w:color w:val="000000"/>
                <w:szCs w:val="18"/>
              </w:rPr>
              <w:t>12,884</w:t>
            </w:r>
          </w:p>
        </w:tc>
        <w:tc>
          <w:tcPr>
            <w:tcW w:w="1170" w:type="dxa"/>
            <w:tcBorders>
              <w:right w:val="nil"/>
            </w:tcBorders>
            <w:shd w:val="clear" w:color="auto" w:fill="auto"/>
            <w:noWrap/>
            <w:vAlign w:val="bottom"/>
          </w:tcPr>
          <w:p w14:paraId="7C7B7895" w14:textId="5EFCE157" w:rsidR="003F31E9" w:rsidRPr="00D23729" w:rsidRDefault="003F31E9" w:rsidP="003F31E9">
            <w:pPr>
              <w:pStyle w:val="TableText"/>
              <w:rPr>
                <w:szCs w:val="18"/>
              </w:rPr>
            </w:pPr>
            <w:r w:rsidRPr="00D23729">
              <w:rPr>
                <w:szCs w:val="18"/>
              </w:rPr>
              <w:t>7.1%</w:t>
            </w:r>
          </w:p>
        </w:tc>
      </w:tr>
      <w:tr w:rsidR="003F31E9" w:rsidRPr="00D23729" w14:paraId="4636B74C" w14:textId="77777777" w:rsidTr="001319A9">
        <w:trPr>
          <w:jc w:val="center"/>
        </w:trPr>
        <w:tc>
          <w:tcPr>
            <w:tcW w:w="1530" w:type="dxa"/>
            <w:tcBorders>
              <w:left w:val="nil"/>
            </w:tcBorders>
            <w:shd w:val="clear" w:color="auto" w:fill="auto"/>
            <w:vAlign w:val="bottom"/>
            <w:hideMark/>
          </w:tcPr>
          <w:p w14:paraId="20F915C0" w14:textId="77777777" w:rsidR="003F31E9" w:rsidRPr="00D23729" w:rsidRDefault="003F31E9" w:rsidP="003F31E9">
            <w:pPr>
              <w:pStyle w:val="TableText"/>
              <w:rPr>
                <w:color w:val="000000"/>
              </w:rPr>
            </w:pPr>
            <w:r w:rsidRPr="00D23729">
              <w:rPr>
                <w:color w:val="000000"/>
              </w:rPr>
              <w:t>Marin</w:t>
            </w:r>
          </w:p>
        </w:tc>
        <w:tc>
          <w:tcPr>
            <w:tcW w:w="1193" w:type="dxa"/>
            <w:shd w:val="clear" w:color="auto" w:fill="auto"/>
            <w:noWrap/>
            <w:vAlign w:val="bottom"/>
            <w:hideMark/>
          </w:tcPr>
          <w:p w14:paraId="0EC429E4" w14:textId="77777777" w:rsidR="003F31E9" w:rsidRPr="00D23729" w:rsidRDefault="003F31E9" w:rsidP="003F31E9">
            <w:pPr>
              <w:pStyle w:val="TableText"/>
              <w:rPr>
                <w:color w:val="000000"/>
                <w:szCs w:val="18"/>
              </w:rPr>
            </w:pPr>
            <w:r w:rsidRPr="00D23729">
              <w:rPr>
                <w:color w:val="000000"/>
                <w:szCs w:val="18"/>
              </w:rPr>
              <w:t>112,293</w:t>
            </w:r>
          </w:p>
        </w:tc>
        <w:tc>
          <w:tcPr>
            <w:tcW w:w="1193" w:type="dxa"/>
            <w:tcBorders>
              <w:right w:val="single" w:sz="8" w:space="0" w:color="auto"/>
            </w:tcBorders>
            <w:shd w:val="clear" w:color="auto" w:fill="auto"/>
            <w:noWrap/>
            <w:vAlign w:val="bottom"/>
            <w:hideMark/>
          </w:tcPr>
          <w:p w14:paraId="1687B9B7" w14:textId="77777777" w:rsidR="003F31E9" w:rsidRPr="00D23729" w:rsidRDefault="003F31E9" w:rsidP="003F31E9">
            <w:pPr>
              <w:pStyle w:val="TableText"/>
              <w:rPr>
                <w:color w:val="000000"/>
                <w:szCs w:val="18"/>
              </w:rPr>
            </w:pPr>
            <w:r w:rsidRPr="00D23729">
              <w:rPr>
                <w:color w:val="000000"/>
                <w:szCs w:val="18"/>
              </w:rPr>
              <w:t>7,702</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FEC698F" w14:textId="77777777" w:rsidR="003F31E9" w:rsidRPr="00D23729" w:rsidRDefault="003F31E9" w:rsidP="003F31E9">
            <w:pPr>
              <w:pStyle w:val="TableText"/>
              <w:rPr>
                <w:szCs w:val="18"/>
              </w:rPr>
            </w:pPr>
            <w:r w:rsidRPr="00D23729">
              <w:rPr>
                <w:szCs w:val="18"/>
              </w:rPr>
              <w:t>6.9%</w:t>
            </w:r>
          </w:p>
        </w:tc>
        <w:tc>
          <w:tcPr>
            <w:tcW w:w="1551" w:type="dxa"/>
            <w:tcBorders>
              <w:left w:val="single" w:sz="12" w:space="0" w:color="auto"/>
            </w:tcBorders>
            <w:shd w:val="clear" w:color="auto" w:fill="auto"/>
            <w:vAlign w:val="bottom"/>
          </w:tcPr>
          <w:p w14:paraId="5B9A891C" w14:textId="265DA65E" w:rsidR="003F31E9" w:rsidRPr="00D23729" w:rsidRDefault="003F31E9" w:rsidP="003F31E9">
            <w:pPr>
              <w:pStyle w:val="TableText"/>
              <w:rPr>
                <w:color w:val="000000"/>
              </w:rPr>
            </w:pPr>
            <w:r w:rsidRPr="00D23729">
              <w:rPr>
                <w:color w:val="000000"/>
              </w:rPr>
              <w:t>Sutter</w:t>
            </w:r>
          </w:p>
        </w:tc>
        <w:tc>
          <w:tcPr>
            <w:tcW w:w="1080" w:type="dxa"/>
            <w:shd w:val="clear" w:color="auto" w:fill="auto"/>
            <w:noWrap/>
            <w:vAlign w:val="bottom"/>
          </w:tcPr>
          <w:p w14:paraId="528AE23E" w14:textId="71C41CDE" w:rsidR="003F31E9" w:rsidRPr="00D23729" w:rsidRDefault="003F31E9" w:rsidP="003F31E9">
            <w:pPr>
              <w:pStyle w:val="TableText"/>
              <w:rPr>
                <w:color w:val="000000"/>
                <w:szCs w:val="18"/>
              </w:rPr>
            </w:pPr>
            <w:r w:rsidRPr="00D23729">
              <w:rPr>
                <w:color w:val="000000"/>
                <w:szCs w:val="18"/>
              </w:rPr>
              <w:t>34,363</w:t>
            </w:r>
          </w:p>
        </w:tc>
        <w:tc>
          <w:tcPr>
            <w:tcW w:w="1170" w:type="dxa"/>
            <w:shd w:val="clear" w:color="auto" w:fill="auto"/>
            <w:noWrap/>
            <w:vAlign w:val="bottom"/>
          </w:tcPr>
          <w:p w14:paraId="35165405" w14:textId="0B945DBF" w:rsidR="003F31E9" w:rsidRPr="00D23729" w:rsidRDefault="003F31E9" w:rsidP="003F31E9">
            <w:pPr>
              <w:pStyle w:val="TableText"/>
              <w:rPr>
                <w:color w:val="000000"/>
                <w:szCs w:val="18"/>
              </w:rPr>
            </w:pPr>
            <w:r w:rsidRPr="00D23729">
              <w:rPr>
                <w:color w:val="000000"/>
                <w:szCs w:val="18"/>
              </w:rPr>
              <w:t>2,154</w:t>
            </w:r>
          </w:p>
        </w:tc>
        <w:tc>
          <w:tcPr>
            <w:tcW w:w="1170" w:type="dxa"/>
            <w:tcBorders>
              <w:right w:val="nil"/>
            </w:tcBorders>
            <w:shd w:val="clear" w:color="auto" w:fill="auto"/>
            <w:noWrap/>
            <w:vAlign w:val="bottom"/>
          </w:tcPr>
          <w:p w14:paraId="34A20215" w14:textId="55DD2DD8" w:rsidR="003F31E9" w:rsidRPr="00D23729" w:rsidRDefault="003F31E9" w:rsidP="003F31E9">
            <w:pPr>
              <w:pStyle w:val="TableText"/>
              <w:rPr>
                <w:szCs w:val="18"/>
              </w:rPr>
            </w:pPr>
            <w:r w:rsidRPr="00D23729">
              <w:rPr>
                <w:szCs w:val="18"/>
              </w:rPr>
              <w:t>6.3%</w:t>
            </w:r>
          </w:p>
        </w:tc>
      </w:tr>
      <w:tr w:rsidR="003F31E9" w:rsidRPr="00D23729" w14:paraId="2F37FAA2" w14:textId="77777777" w:rsidTr="001319A9">
        <w:trPr>
          <w:jc w:val="center"/>
        </w:trPr>
        <w:tc>
          <w:tcPr>
            <w:tcW w:w="1530" w:type="dxa"/>
            <w:tcBorders>
              <w:left w:val="nil"/>
            </w:tcBorders>
            <w:shd w:val="clear" w:color="auto" w:fill="auto"/>
            <w:vAlign w:val="bottom"/>
            <w:hideMark/>
          </w:tcPr>
          <w:p w14:paraId="3C22A604" w14:textId="77777777" w:rsidR="003F31E9" w:rsidRPr="00D23729" w:rsidRDefault="003F31E9" w:rsidP="003F31E9">
            <w:pPr>
              <w:pStyle w:val="TableText"/>
              <w:rPr>
                <w:color w:val="000000"/>
              </w:rPr>
            </w:pPr>
            <w:r w:rsidRPr="00D23729">
              <w:rPr>
                <w:color w:val="000000"/>
              </w:rPr>
              <w:t>Mariposa</w:t>
            </w:r>
          </w:p>
        </w:tc>
        <w:tc>
          <w:tcPr>
            <w:tcW w:w="1193" w:type="dxa"/>
            <w:shd w:val="clear" w:color="auto" w:fill="auto"/>
            <w:noWrap/>
            <w:vAlign w:val="bottom"/>
            <w:hideMark/>
          </w:tcPr>
          <w:p w14:paraId="1847C544" w14:textId="77777777" w:rsidR="003F31E9" w:rsidRPr="00D23729" w:rsidRDefault="003F31E9" w:rsidP="003F31E9">
            <w:pPr>
              <w:pStyle w:val="TableText"/>
              <w:rPr>
                <w:color w:val="000000"/>
                <w:szCs w:val="18"/>
              </w:rPr>
            </w:pPr>
            <w:r w:rsidRPr="00D23729">
              <w:rPr>
                <w:color w:val="000000"/>
                <w:szCs w:val="18"/>
              </w:rPr>
              <w:t>10,449</w:t>
            </w:r>
          </w:p>
        </w:tc>
        <w:tc>
          <w:tcPr>
            <w:tcW w:w="1193" w:type="dxa"/>
            <w:tcBorders>
              <w:right w:val="single" w:sz="8" w:space="0" w:color="auto"/>
            </w:tcBorders>
            <w:shd w:val="clear" w:color="auto" w:fill="auto"/>
            <w:noWrap/>
            <w:vAlign w:val="bottom"/>
            <w:hideMark/>
          </w:tcPr>
          <w:p w14:paraId="14678511" w14:textId="77777777" w:rsidR="003F31E9" w:rsidRPr="00D23729" w:rsidRDefault="003F31E9" w:rsidP="003F31E9">
            <w:pPr>
              <w:pStyle w:val="TableText"/>
              <w:rPr>
                <w:color w:val="000000"/>
                <w:szCs w:val="18"/>
              </w:rPr>
            </w:pPr>
            <w:r w:rsidRPr="00D23729">
              <w:rPr>
                <w:color w:val="000000"/>
                <w:szCs w:val="18"/>
              </w:rPr>
              <w:t>2,650</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2689BF7" w14:textId="77777777" w:rsidR="003F31E9" w:rsidRPr="00D23729" w:rsidRDefault="003F31E9" w:rsidP="003F31E9">
            <w:pPr>
              <w:pStyle w:val="TableText"/>
              <w:rPr>
                <w:szCs w:val="18"/>
              </w:rPr>
            </w:pPr>
            <w:r w:rsidRPr="00D23729">
              <w:rPr>
                <w:szCs w:val="18"/>
              </w:rPr>
              <w:t>25.4%</w:t>
            </w:r>
          </w:p>
        </w:tc>
        <w:tc>
          <w:tcPr>
            <w:tcW w:w="1551" w:type="dxa"/>
            <w:tcBorders>
              <w:left w:val="single" w:sz="12" w:space="0" w:color="auto"/>
            </w:tcBorders>
            <w:shd w:val="clear" w:color="auto" w:fill="auto"/>
            <w:vAlign w:val="bottom"/>
          </w:tcPr>
          <w:p w14:paraId="623434CF" w14:textId="21349FEC" w:rsidR="003F31E9" w:rsidRPr="00D23729" w:rsidRDefault="003F31E9" w:rsidP="003F31E9">
            <w:pPr>
              <w:pStyle w:val="TableText"/>
              <w:rPr>
                <w:color w:val="000000"/>
              </w:rPr>
            </w:pPr>
            <w:r w:rsidRPr="00D23729">
              <w:rPr>
                <w:color w:val="000000"/>
              </w:rPr>
              <w:t>Tehama</w:t>
            </w:r>
          </w:p>
        </w:tc>
        <w:tc>
          <w:tcPr>
            <w:tcW w:w="1080" w:type="dxa"/>
            <w:shd w:val="clear" w:color="auto" w:fill="auto"/>
            <w:noWrap/>
            <w:vAlign w:val="bottom"/>
          </w:tcPr>
          <w:p w14:paraId="07DAE07D" w14:textId="7AE7DC26" w:rsidR="003F31E9" w:rsidRPr="00D23729" w:rsidRDefault="003F31E9" w:rsidP="003F31E9">
            <w:pPr>
              <w:pStyle w:val="TableText"/>
              <w:rPr>
                <w:color w:val="000000"/>
                <w:szCs w:val="18"/>
              </w:rPr>
            </w:pPr>
            <w:r w:rsidRPr="00D23729">
              <w:rPr>
                <w:color w:val="000000"/>
                <w:szCs w:val="18"/>
              </w:rPr>
              <w:t>27,636</w:t>
            </w:r>
          </w:p>
        </w:tc>
        <w:tc>
          <w:tcPr>
            <w:tcW w:w="1170" w:type="dxa"/>
            <w:shd w:val="clear" w:color="auto" w:fill="auto"/>
            <w:noWrap/>
            <w:vAlign w:val="bottom"/>
          </w:tcPr>
          <w:p w14:paraId="72E2D57A" w14:textId="2BF59F95" w:rsidR="003F31E9" w:rsidRPr="00D23729" w:rsidRDefault="003F31E9" w:rsidP="003F31E9">
            <w:pPr>
              <w:pStyle w:val="TableText"/>
              <w:rPr>
                <w:color w:val="000000"/>
                <w:szCs w:val="18"/>
              </w:rPr>
            </w:pPr>
            <w:r w:rsidRPr="00D23729">
              <w:rPr>
                <w:color w:val="000000"/>
                <w:szCs w:val="18"/>
              </w:rPr>
              <w:t>2,989</w:t>
            </w:r>
          </w:p>
        </w:tc>
        <w:tc>
          <w:tcPr>
            <w:tcW w:w="1170" w:type="dxa"/>
            <w:tcBorders>
              <w:right w:val="nil"/>
            </w:tcBorders>
            <w:shd w:val="clear" w:color="auto" w:fill="auto"/>
            <w:noWrap/>
            <w:vAlign w:val="bottom"/>
          </w:tcPr>
          <w:p w14:paraId="0324A0C3" w14:textId="08F7E1B0" w:rsidR="003F31E9" w:rsidRPr="00D23729" w:rsidRDefault="003F31E9" w:rsidP="003F31E9">
            <w:pPr>
              <w:pStyle w:val="TableText"/>
              <w:rPr>
                <w:szCs w:val="18"/>
              </w:rPr>
            </w:pPr>
            <w:r w:rsidRPr="00D23729">
              <w:rPr>
                <w:szCs w:val="18"/>
              </w:rPr>
              <w:t>10.8%</w:t>
            </w:r>
          </w:p>
        </w:tc>
      </w:tr>
      <w:tr w:rsidR="003F31E9" w:rsidRPr="00D23729" w14:paraId="5374FE29" w14:textId="77777777" w:rsidTr="001319A9">
        <w:trPr>
          <w:jc w:val="center"/>
        </w:trPr>
        <w:tc>
          <w:tcPr>
            <w:tcW w:w="1530" w:type="dxa"/>
            <w:tcBorders>
              <w:left w:val="nil"/>
            </w:tcBorders>
            <w:shd w:val="clear" w:color="auto" w:fill="auto"/>
            <w:vAlign w:val="bottom"/>
            <w:hideMark/>
          </w:tcPr>
          <w:p w14:paraId="1196EFA0" w14:textId="77777777" w:rsidR="003F31E9" w:rsidRPr="00D23729" w:rsidRDefault="003F31E9" w:rsidP="003F31E9">
            <w:pPr>
              <w:pStyle w:val="TableText"/>
              <w:rPr>
                <w:color w:val="000000"/>
              </w:rPr>
            </w:pPr>
            <w:r w:rsidRPr="00D23729">
              <w:rPr>
                <w:color w:val="000000"/>
              </w:rPr>
              <w:t>Mendocino</w:t>
            </w:r>
          </w:p>
        </w:tc>
        <w:tc>
          <w:tcPr>
            <w:tcW w:w="1193" w:type="dxa"/>
            <w:shd w:val="clear" w:color="auto" w:fill="auto"/>
            <w:noWrap/>
            <w:vAlign w:val="bottom"/>
            <w:hideMark/>
          </w:tcPr>
          <w:p w14:paraId="66737E47" w14:textId="77777777" w:rsidR="003F31E9" w:rsidRPr="00D23729" w:rsidRDefault="003F31E9" w:rsidP="003F31E9">
            <w:pPr>
              <w:pStyle w:val="TableText"/>
              <w:rPr>
                <w:color w:val="000000"/>
                <w:szCs w:val="18"/>
              </w:rPr>
            </w:pPr>
            <w:r w:rsidRPr="00D23729">
              <w:rPr>
                <w:color w:val="000000"/>
                <w:szCs w:val="18"/>
              </w:rPr>
              <w:t>40,560</w:t>
            </w:r>
          </w:p>
        </w:tc>
        <w:tc>
          <w:tcPr>
            <w:tcW w:w="1193" w:type="dxa"/>
            <w:tcBorders>
              <w:right w:val="single" w:sz="8" w:space="0" w:color="auto"/>
            </w:tcBorders>
            <w:shd w:val="clear" w:color="auto" w:fill="auto"/>
            <w:noWrap/>
            <w:vAlign w:val="bottom"/>
            <w:hideMark/>
          </w:tcPr>
          <w:p w14:paraId="77C049A0" w14:textId="77777777" w:rsidR="003F31E9" w:rsidRPr="00D23729" w:rsidRDefault="003F31E9" w:rsidP="003F31E9">
            <w:pPr>
              <w:pStyle w:val="TableText"/>
              <w:rPr>
                <w:color w:val="000000"/>
                <w:szCs w:val="18"/>
              </w:rPr>
            </w:pPr>
            <w:r w:rsidRPr="00D23729">
              <w:rPr>
                <w:color w:val="000000"/>
                <w:szCs w:val="18"/>
              </w:rPr>
              <w:t>5,243</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6D5652E" w14:textId="77777777" w:rsidR="003F31E9" w:rsidRPr="00D23729" w:rsidRDefault="003F31E9" w:rsidP="003F31E9">
            <w:pPr>
              <w:pStyle w:val="TableText"/>
              <w:rPr>
                <w:szCs w:val="18"/>
              </w:rPr>
            </w:pPr>
            <w:r w:rsidRPr="00D23729">
              <w:rPr>
                <w:szCs w:val="18"/>
              </w:rPr>
              <w:t>12.9%</w:t>
            </w:r>
          </w:p>
        </w:tc>
        <w:tc>
          <w:tcPr>
            <w:tcW w:w="1551" w:type="dxa"/>
            <w:tcBorders>
              <w:left w:val="single" w:sz="12" w:space="0" w:color="auto"/>
            </w:tcBorders>
            <w:shd w:val="clear" w:color="auto" w:fill="auto"/>
            <w:vAlign w:val="bottom"/>
          </w:tcPr>
          <w:p w14:paraId="63975878" w14:textId="2899C626" w:rsidR="003F31E9" w:rsidRPr="00D23729" w:rsidRDefault="003F31E9" w:rsidP="003F31E9">
            <w:pPr>
              <w:pStyle w:val="TableText"/>
              <w:rPr>
                <w:color w:val="000000"/>
              </w:rPr>
            </w:pPr>
            <w:r w:rsidRPr="00D23729">
              <w:rPr>
                <w:color w:val="000000"/>
              </w:rPr>
              <w:t>Trinity</w:t>
            </w:r>
          </w:p>
        </w:tc>
        <w:tc>
          <w:tcPr>
            <w:tcW w:w="1080" w:type="dxa"/>
            <w:shd w:val="clear" w:color="auto" w:fill="auto"/>
            <w:noWrap/>
            <w:vAlign w:val="bottom"/>
          </w:tcPr>
          <w:p w14:paraId="4029EDBA" w14:textId="2E5375E6" w:rsidR="003F31E9" w:rsidRPr="00D23729" w:rsidRDefault="003F31E9" w:rsidP="003F31E9">
            <w:pPr>
              <w:pStyle w:val="TableText"/>
              <w:rPr>
                <w:color w:val="000000"/>
                <w:szCs w:val="18"/>
              </w:rPr>
            </w:pPr>
            <w:r w:rsidRPr="00D23729">
              <w:rPr>
                <w:color w:val="000000"/>
                <w:szCs w:val="18"/>
              </w:rPr>
              <w:t>8,892</w:t>
            </w:r>
          </w:p>
        </w:tc>
        <w:tc>
          <w:tcPr>
            <w:tcW w:w="1170" w:type="dxa"/>
            <w:shd w:val="clear" w:color="auto" w:fill="auto"/>
            <w:noWrap/>
            <w:vAlign w:val="bottom"/>
          </w:tcPr>
          <w:p w14:paraId="2391D542" w14:textId="52DEC714" w:rsidR="003F31E9" w:rsidRPr="00D23729" w:rsidRDefault="003F31E9" w:rsidP="003F31E9">
            <w:pPr>
              <w:pStyle w:val="TableText"/>
              <w:rPr>
                <w:color w:val="000000"/>
                <w:szCs w:val="18"/>
              </w:rPr>
            </w:pPr>
            <w:r w:rsidRPr="00D23729">
              <w:rPr>
                <w:color w:val="000000"/>
                <w:szCs w:val="18"/>
              </w:rPr>
              <w:t>2,898</w:t>
            </w:r>
          </w:p>
        </w:tc>
        <w:tc>
          <w:tcPr>
            <w:tcW w:w="1170" w:type="dxa"/>
            <w:tcBorders>
              <w:right w:val="nil"/>
            </w:tcBorders>
            <w:shd w:val="clear" w:color="auto" w:fill="auto"/>
            <w:noWrap/>
            <w:vAlign w:val="bottom"/>
          </w:tcPr>
          <w:p w14:paraId="2CAF12E7" w14:textId="478831E4" w:rsidR="003F31E9" w:rsidRPr="00D23729" w:rsidRDefault="003F31E9" w:rsidP="003F31E9">
            <w:pPr>
              <w:pStyle w:val="TableText"/>
              <w:rPr>
                <w:szCs w:val="18"/>
              </w:rPr>
            </w:pPr>
            <w:r w:rsidRPr="00D23729">
              <w:rPr>
                <w:szCs w:val="18"/>
              </w:rPr>
              <w:t>32.6%</w:t>
            </w:r>
          </w:p>
        </w:tc>
      </w:tr>
      <w:tr w:rsidR="003F31E9" w:rsidRPr="00D23729" w14:paraId="33317379" w14:textId="77777777" w:rsidTr="001319A9">
        <w:trPr>
          <w:jc w:val="center"/>
        </w:trPr>
        <w:tc>
          <w:tcPr>
            <w:tcW w:w="1530" w:type="dxa"/>
            <w:tcBorders>
              <w:left w:val="nil"/>
            </w:tcBorders>
            <w:shd w:val="clear" w:color="auto" w:fill="auto"/>
            <w:vAlign w:val="bottom"/>
            <w:hideMark/>
          </w:tcPr>
          <w:p w14:paraId="4A47475B" w14:textId="77777777" w:rsidR="003F31E9" w:rsidRPr="00D23729" w:rsidRDefault="003F31E9" w:rsidP="003F31E9">
            <w:pPr>
              <w:pStyle w:val="TableText"/>
              <w:rPr>
                <w:color w:val="000000"/>
              </w:rPr>
            </w:pPr>
            <w:r w:rsidRPr="00D23729">
              <w:rPr>
                <w:color w:val="000000"/>
              </w:rPr>
              <w:t>Merced</w:t>
            </w:r>
          </w:p>
        </w:tc>
        <w:tc>
          <w:tcPr>
            <w:tcW w:w="1193" w:type="dxa"/>
            <w:shd w:val="clear" w:color="auto" w:fill="auto"/>
            <w:noWrap/>
            <w:vAlign w:val="bottom"/>
            <w:hideMark/>
          </w:tcPr>
          <w:p w14:paraId="2B894D72" w14:textId="77777777" w:rsidR="003F31E9" w:rsidRPr="00D23729" w:rsidRDefault="003F31E9" w:rsidP="003F31E9">
            <w:pPr>
              <w:pStyle w:val="TableText"/>
              <w:rPr>
                <w:color w:val="000000"/>
                <w:szCs w:val="18"/>
              </w:rPr>
            </w:pPr>
            <w:r w:rsidRPr="00D23729">
              <w:rPr>
                <w:color w:val="000000"/>
                <w:szCs w:val="18"/>
              </w:rPr>
              <w:t>85,927</w:t>
            </w:r>
          </w:p>
        </w:tc>
        <w:tc>
          <w:tcPr>
            <w:tcW w:w="1193" w:type="dxa"/>
            <w:tcBorders>
              <w:right w:val="single" w:sz="8" w:space="0" w:color="auto"/>
            </w:tcBorders>
            <w:shd w:val="clear" w:color="auto" w:fill="auto"/>
            <w:noWrap/>
            <w:vAlign w:val="bottom"/>
            <w:hideMark/>
          </w:tcPr>
          <w:p w14:paraId="4D6CCAA8" w14:textId="77777777" w:rsidR="003F31E9" w:rsidRPr="00D23729" w:rsidRDefault="003F31E9" w:rsidP="003F31E9">
            <w:pPr>
              <w:pStyle w:val="TableText"/>
              <w:rPr>
                <w:color w:val="000000"/>
                <w:szCs w:val="18"/>
              </w:rPr>
            </w:pPr>
            <w:r w:rsidRPr="00D23729">
              <w:rPr>
                <w:color w:val="000000"/>
                <w:szCs w:val="18"/>
              </w:rPr>
              <w:t>5,883</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1A76A5E" w14:textId="77777777" w:rsidR="003F31E9" w:rsidRPr="00D23729" w:rsidRDefault="003F31E9" w:rsidP="003F31E9">
            <w:pPr>
              <w:pStyle w:val="TableText"/>
              <w:rPr>
                <w:szCs w:val="18"/>
              </w:rPr>
            </w:pPr>
            <w:r w:rsidRPr="00D23729">
              <w:rPr>
                <w:szCs w:val="18"/>
              </w:rPr>
              <w:t>6.8%</w:t>
            </w:r>
          </w:p>
        </w:tc>
        <w:tc>
          <w:tcPr>
            <w:tcW w:w="1551" w:type="dxa"/>
            <w:tcBorders>
              <w:left w:val="single" w:sz="12" w:space="0" w:color="auto"/>
            </w:tcBorders>
            <w:shd w:val="clear" w:color="auto" w:fill="auto"/>
            <w:vAlign w:val="bottom"/>
          </w:tcPr>
          <w:p w14:paraId="6EA88218" w14:textId="4EEED9AF" w:rsidR="003F31E9" w:rsidRPr="00D23729" w:rsidRDefault="003F31E9" w:rsidP="003F31E9">
            <w:pPr>
              <w:pStyle w:val="TableText"/>
              <w:rPr>
                <w:color w:val="000000"/>
              </w:rPr>
            </w:pPr>
            <w:r w:rsidRPr="00D23729">
              <w:rPr>
                <w:color w:val="000000"/>
              </w:rPr>
              <w:t>Tulare</w:t>
            </w:r>
          </w:p>
        </w:tc>
        <w:tc>
          <w:tcPr>
            <w:tcW w:w="1080" w:type="dxa"/>
            <w:shd w:val="clear" w:color="auto" w:fill="auto"/>
            <w:noWrap/>
            <w:vAlign w:val="bottom"/>
          </w:tcPr>
          <w:p w14:paraId="5193CCC7" w14:textId="3C21F0F5" w:rsidR="003F31E9" w:rsidRPr="00D23729" w:rsidRDefault="003F31E9" w:rsidP="003F31E9">
            <w:pPr>
              <w:pStyle w:val="TableText"/>
              <w:rPr>
                <w:color w:val="000000"/>
                <w:szCs w:val="18"/>
              </w:rPr>
            </w:pPr>
            <w:r w:rsidRPr="00D23729">
              <w:rPr>
                <w:color w:val="000000"/>
                <w:szCs w:val="18"/>
              </w:rPr>
              <w:t>149,342</w:t>
            </w:r>
          </w:p>
        </w:tc>
        <w:tc>
          <w:tcPr>
            <w:tcW w:w="1170" w:type="dxa"/>
            <w:shd w:val="clear" w:color="auto" w:fill="auto"/>
            <w:noWrap/>
            <w:vAlign w:val="bottom"/>
          </w:tcPr>
          <w:p w14:paraId="2E23C416" w14:textId="7D25AD6F" w:rsidR="003F31E9" w:rsidRPr="00D23729" w:rsidRDefault="003F31E9" w:rsidP="003F31E9">
            <w:pPr>
              <w:pStyle w:val="TableText"/>
              <w:rPr>
                <w:color w:val="000000"/>
                <w:szCs w:val="18"/>
              </w:rPr>
            </w:pPr>
            <w:r w:rsidRPr="00D23729">
              <w:rPr>
                <w:color w:val="000000"/>
                <w:szCs w:val="18"/>
              </w:rPr>
              <w:t>11,528</w:t>
            </w:r>
          </w:p>
        </w:tc>
        <w:tc>
          <w:tcPr>
            <w:tcW w:w="1170" w:type="dxa"/>
            <w:tcBorders>
              <w:right w:val="nil"/>
            </w:tcBorders>
            <w:shd w:val="clear" w:color="auto" w:fill="auto"/>
            <w:noWrap/>
            <w:vAlign w:val="bottom"/>
          </w:tcPr>
          <w:p w14:paraId="2D265902" w14:textId="297B71A3" w:rsidR="003F31E9" w:rsidRPr="00D23729" w:rsidRDefault="003F31E9" w:rsidP="003F31E9">
            <w:pPr>
              <w:pStyle w:val="TableText"/>
              <w:rPr>
                <w:szCs w:val="18"/>
              </w:rPr>
            </w:pPr>
            <w:r w:rsidRPr="00D23729">
              <w:rPr>
                <w:szCs w:val="18"/>
              </w:rPr>
              <w:t>7.7%</w:t>
            </w:r>
          </w:p>
        </w:tc>
      </w:tr>
      <w:tr w:rsidR="003F31E9" w:rsidRPr="00D23729" w14:paraId="32E67F22" w14:textId="77777777" w:rsidTr="001319A9">
        <w:trPr>
          <w:jc w:val="center"/>
        </w:trPr>
        <w:tc>
          <w:tcPr>
            <w:tcW w:w="1530" w:type="dxa"/>
            <w:tcBorders>
              <w:left w:val="nil"/>
            </w:tcBorders>
            <w:shd w:val="clear" w:color="auto" w:fill="auto"/>
            <w:vAlign w:val="bottom"/>
            <w:hideMark/>
          </w:tcPr>
          <w:p w14:paraId="0B27C952" w14:textId="77777777" w:rsidR="003F31E9" w:rsidRPr="00D23729" w:rsidRDefault="003F31E9" w:rsidP="003F31E9">
            <w:pPr>
              <w:pStyle w:val="TableText"/>
              <w:rPr>
                <w:color w:val="000000"/>
              </w:rPr>
            </w:pPr>
            <w:r w:rsidRPr="00D23729">
              <w:rPr>
                <w:color w:val="000000"/>
              </w:rPr>
              <w:t>Modoc</w:t>
            </w:r>
          </w:p>
        </w:tc>
        <w:tc>
          <w:tcPr>
            <w:tcW w:w="1193" w:type="dxa"/>
            <w:shd w:val="clear" w:color="auto" w:fill="auto"/>
            <w:noWrap/>
            <w:vAlign w:val="bottom"/>
            <w:hideMark/>
          </w:tcPr>
          <w:p w14:paraId="1062F288" w14:textId="77777777" w:rsidR="003F31E9" w:rsidRPr="00D23729" w:rsidRDefault="003F31E9" w:rsidP="003F31E9">
            <w:pPr>
              <w:pStyle w:val="TableText"/>
              <w:rPr>
                <w:color w:val="000000"/>
                <w:szCs w:val="18"/>
              </w:rPr>
            </w:pPr>
            <w:r w:rsidRPr="00D23729">
              <w:rPr>
                <w:color w:val="000000"/>
                <w:szCs w:val="18"/>
              </w:rPr>
              <w:t>5,268</w:t>
            </w:r>
          </w:p>
        </w:tc>
        <w:tc>
          <w:tcPr>
            <w:tcW w:w="1193" w:type="dxa"/>
            <w:tcBorders>
              <w:right w:val="single" w:sz="8" w:space="0" w:color="auto"/>
            </w:tcBorders>
            <w:shd w:val="clear" w:color="auto" w:fill="auto"/>
            <w:noWrap/>
            <w:vAlign w:val="bottom"/>
            <w:hideMark/>
          </w:tcPr>
          <w:p w14:paraId="3EFF1789" w14:textId="77777777" w:rsidR="003F31E9" w:rsidRPr="00D23729" w:rsidRDefault="003F31E9" w:rsidP="003F31E9">
            <w:pPr>
              <w:pStyle w:val="TableText"/>
              <w:rPr>
                <w:color w:val="000000"/>
                <w:szCs w:val="18"/>
              </w:rPr>
            </w:pPr>
            <w:r w:rsidRPr="00D23729">
              <w:rPr>
                <w:color w:val="000000"/>
                <w:szCs w:val="18"/>
              </w:rPr>
              <w:t>1,409</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36AB39" w14:textId="77777777" w:rsidR="003F31E9" w:rsidRPr="00D23729" w:rsidRDefault="003F31E9" w:rsidP="003F31E9">
            <w:pPr>
              <w:pStyle w:val="TableText"/>
              <w:rPr>
                <w:szCs w:val="18"/>
              </w:rPr>
            </w:pPr>
            <w:r w:rsidRPr="00D23729">
              <w:rPr>
                <w:szCs w:val="18"/>
              </w:rPr>
              <w:t>26.7%</w:t>
            </w:r>
          </w:p>
        </w:tc>
        <w:tc>
          <w:tcPr>
            <w:tcW w:w="1551" w:type="dxa"/>
            <w:tcBorders>
              <w:left w:val="single" w:sz="12" w:space="0" w:color="auto"/>
            </w:tcBorders>
            <w:shd w:val="clear" w:color="auto" w:fill="auto"/>
            <w:vAlign w:val="bottom"/>
          </w:tcPr>
          <w:p w14:paraId="5B539C59" w14:textId="7FC34CDB" w:rsidR="003F31E9" w:rsidRPr="00D23729" w:rsidRDefault="003F31E9" w:rsidP="003F31E9">
            <w:pPr>
              <w:pStyle w:val="TableText"/>
              <w:rPr>
                <w:color w:val="000000"/>
              </w:rPr>
            </w:pPr>
            <w:r w:rsidRPr="00D23729">
              <w:rPr>
                <w:color w:val="000000"/>
              </w:rPr>
              <w:t>Tuolumne</w:t>
            </w:r>
          </w:p>
        </w:tc>
        <w:tc>
          <w:tcPr>
            <w:tcW w:w="1080" w:type="dxa"/>
            <w:shd w:val="clear" w:color="auto" w:fill="auto"/>
            <w:noWrap/>
            <w:vAlign w:val="bottom"/>
          </w:tcPr>
          <w:p w14:paraId="31A1D8BA" w14:textId="02687B2D" w:rsidR="003F31E9" w:rsidRPr="00D23729" w:rsidRDefault="003F31E9" w:rsidP="003F31E9">
            <w:pPr>
              <w:pStyle w:val="TableText"/>
              <w:rPr>
                <w:color w:val="000000"/>
                <w:szCs w:val="18"/>
              </w:rPr>
            </w:pPr>
            <w:r w:rsidRPr="00D23729">
              <w:rPr>
                <w:color w:val="000000"/>
                <w:szCs w:val="18"/>
              </w:rPr>
              <w:t>31,573</w:t>
            </w:r>
          </w:p>
        </w:tc>
        <w:tc>
          <w:tcPr>
            <w:tcW w:w="1170" w:type="dxa"/>
            <w:shd w:val="clear" w:color="auto" w:fill="auto"/>
            <w:noWrap/>
            <w:vAlign w:val="bottom"/>
          </w:tcPr>
          <w:p w14:paraId="29041B9B" w14:textId="7D4A2C82" w:rsidR="003F31E9" w:rsidRPr="00D23729" w:rsidRDefault="003F31E9" w:rsidP="003F31E9">
            <w:pPr>
              <w:pStyle w:val="TableText"/>
              <w:rPr>
                <w:color w:val="000000"/>
                <w:szCs w:val="18"/>
              </w:rPr>
            </w:pPr>
            <w:r w:rsidRPr="00D23729">
              <w:rPr>
                <w:color w:val="000000"/>
                <w:szCs w:val="18"/>
              </w:rPr>
              <w:t>9,384</w:t>
            </w:r>
          </w:p>
        </w:tc>
        <w:tc>
          <w:tcPr>
            <w:tcW w:w="1170" w:type="dxa"/>
            <w:tcBorders>
              <w:right w:val="nil"/>
            </w:tcBorders>
            <w:shd w:val="clear" w:color="auto" w:fill="auto"/>
            <w:noWrap/>
            <w:vAlign w:val="bottom"/>
          </w:tcPr>
          <w:p w14:paraId="1DA3E074" w14:textId="219A7C27" w:rsidR="003F31E9" w:rsidRPr="00D23729" w:rsidRDefault="003F31E9" w:rsidP="003F31E9">
            <w:pPr>
              <w:pStyle w:val="TableText"/>
              <w:rPr>
                <w:szCs w:val="18"/>
              </w:rPr>
            </w:pPr>
            <w:r w:rsidRPr="00D23729">
              <w:rPr>
                <w:szCs w:val="18"/>
              </w:rPr>
              <w:t>29.7%</w:t>
            </w:r>
          </w:p>
        </w:tc>
      </w:tr>
      <w:tr w:rsidR="003F31E9" w:rsidRPr="00D23729" w14:paraId="6336461C" w14:textId="77777777" w:rsidTr="001319A9">
        <w:trPr>
          <w:jc w:val="center"/>
        </w:trPr>
        <w:tc>
          <w:tcPr>
            <w:tcW w:w="1530" w:type="dxa"/>
            <w:tcBorders>
              <w:left w:val="nil"/>
            </w:tcBorders>
            <w:shd w:val="clear" w:color="auto" w:fill="auto"/>
            <w:vAlign w:val="bottom"/>
            <w:hideMark/>
          </w:tcPr>
          <w:p w14:paraId="4FA80FA5" w14:textId="77777777" w:rsidR="003F31E9" w:rsidRPr="00D23729" w:rsidRDefault="003F31E9" w:rsidP="003F31E9">
            <w:pPr>
              <w:pStyle w:val="TableText"/>
              <w:rPr>
                <w:color w:val="000000"/>
              </w:rPr>
            </w:pPr>
            <w:r w:rsidRPr="00D23729">
              <w:rPr>
                <w:color w:val="000000"/>
              </w:rPr>
              <w:t>Mono</w:t>
            </w:r>
          </w:p>
        </w:tc>
        <w:tc>
          <w:tcPr>
            <w:tcW w:w="1193" w:type="dxa"/>
            <w:shd w:val="clear" w:color="auto" w:fill="auto"/>
            <w:noWrap/>
            <w:vAlign w:val="bottom"/>
            <w:hideMark/>
          </w:tcPr>
          <w:p w14:paraId="7D6D140A" w14:textId="77777777" w:rsidR="003F31E9" w:rsidRPr="00D23729" w:rsidRDefault="003F31E9" w:rsidP="003F31E9">
            <w:pPr>
              <w:pStyle w:val="TableText"/>
              <w:rPr>
                <w:color w:val="000000"/>
                <w:szCs w:val="18"/>
              </w:rPr>
            </w:pPr>
            <w:r w:rsidRPr="00D23729">
              <w:rPr>
                <w:color w:val="000000"/>
                <w:szCs w:val="18"/>
              </w:rPr>
              <w:t>14,061</w:t>
            </w:r>
          </w:p>
        </w:tc>
        <w:tc>
          <w:tcPr>
            <w:tcW w:w="1193" w:type="dxa"/>
            <w:tcBorders>
              <w:right w:val="single" w:sz="8" w:space="0" w:color="auto"/>
            </w:tcBorders>
            <w:shd w:val="clear" w:color="auto" w:fill="auto"/>
            <w:noWrap/>
            <w:vAlign w:val="bottom"/>
            <w:hideMark/>
          </w:tcPr>
          <w:p w14:paraId="5CA6C170" w14:textId="77777777" w:rsidR="003F31E9" w:rsidRPr="00D23729" w:rsidRDefault="003F31E9" w:rsidP="003F31E9">
            <w:pPr>
              <w:pStyle w:val="TableText"/>
              <w:rPr>
                <w:color w:val="000000"/>
                <w:szCs w:val="18"/>
              </w:rPr>
            </w:pPr>
            <w:r w:rsidRPr="00D23729">
              <w:rPr>
                <w:color w:val="000000"/>
                <w:szCs w:val="18"/>
              </w:rPr>
              <w:t>8,414</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457BEA2" w14:textId="77777777" w:rsidR="003F31E9" w:rsidRPr="00D23729" w:rsidRDefault="003F31E9" w:rsidP="003F31E9">
            <w:pPr>
              <w:pStyle w:val="TableText"/>
              <w:rPr>
                <w:szCs w:val="18"/>
              </w:rPr>
            </w:pPr>
            <w:r w:rsidRPr="00D23729">
              <w:rPr>
                <w:szCs w:val="18"/>
              </w:rPr>
              <w:t>59.8%</w:t>
            </w:r>
          </w:p>
        </w:tc>
        <w:tc>
          <w:tcPr>
            <w:tcW w:w="1551" w:type="dxa"/>
            <w:tcBorders>
              <w:left w:val="single" w:sz="12" w:space="0" w:color="auto"/>
            </w:tcBorders>
            <w:shd w:val="clear" w:color="auto" w:fill="auto"/>
            <w:vAlign w:val="bottom"/>
          </w:tcPr>
          <w:p w14:paraId="3538F145" w14:textId="3E99B790" w:rsidR="003F31E9" w:rsidRPr="00D23729" w:rsidRDefault="003F31E9" w:rsidP="003F31E9">
            <w:pPr>
              <w:pStyle w:val="TableText"/>
              <w:rPr>
                <w:color w:val="000000"/>
              </w:rPr>
            </w:pPr>
            <w:r w:rsidRPr="00D23729">
              <w:rPr>
                <w:color w:val="000000"/>
              </w:rPr>
              <w:t>Ventura</w:t>
            </w:r>
          </w:p>
        </w:tc>
        <w:tc>
          <w:tcPr>
            <w:tcW w:w="1080" w:type="dxa"/>
            <w:shd w:val="clear" w:color="auto" w:fill="auto"/>
            <w:noWrap/>
            <w:vAlign w:val="bottom"/>
          </w:tcPr>
          <w:p w14:paraId="648CA22E" w14:textId="2A23EF86" w:rsidR="003F31E9" w:rsidRPr="00D23729" w:rsidRDefault="003F31E9" w:rsidP="003F31E9">
            <w:pPr>
              <w:pStyle w:val="TableText"/>
              <w:rPr>
                <w:color w:val="000000"/>
                <w:szCs w:val="18"/>
              </w:rPr>
            </w:pPr>
            <w:r w:rsidRPr="00D23729">
              <w:rPr>
                <w:color w:val="000000"/>
                <w:szCs w:val="18"/>
              </w:rPr>
              <w:t>288,579</w:t>
            </w:r>
          </w:p>
        </w:tc>
        <w:tc>
          <w:tcPr>
            <w:tcW w:w="1170" w:type="dxa"/>
            <w:shd w:val="clear" w:color="auto" w:fill="auto"/>
            <w:noWrap/>
            <w:vAlign w:val="bottom"/>
          </w:tcPr>
          <w:p w14:paraId="0236AECF" w14:textId="3FA8A3D9" w:rsidR="003F31E9" w:rsidRPr="00D23729" w:rsidRDefault="003F31E9" w:rsidP="003F31E9">
            <w:pPr>
              <w:pStyle w:val="TableText"/>
              <w:rPr>
                <w:color w:val="000000"/>
                <w:szCs w:val="18"/>
              </w:rPr>
            </w:pPr>
            <w:r w:rsidRPr="00D23729">
              <w:rPr>
                <w:color w:val="000000"/>
                <w:szCs w:val="18"/>
              </w:rPr>
              <w:t>14,907</w:t>
            </w:r>
          </w:p>
        </w:tc>
        <w:tc>
          <w:tcPr>
            <w:tcW w:w="1170" w:type="dxa"/>
            <w:tcBorders>
              <w:right w:val="nil"/>
            </w:tcBorders>
            <w:shd w:val="clear" w:color="auto" w:fill="auto"/>
            <w:noWrap/>
            <w:vAlign w:val="bottom"/>
          </w:tcPr>
          <w:p w14:paraId="06DCE47D" w14:textId="43A29034" w:rsidR="003F31E9" w:rsidRPr="00D23729" w:rsidRDefault="003F31E9" w:rsidP="003F31E9">
            <w:pPr>
              <w:pStyle w:val="TableText"/>
              <w:rPr>
                <w:szCs w:val="18"/>
              </w:rPr>
            </w:pPr>
            <w:r w:rsidRPr="00D23729">
              <w:rPr>
                <w:szCs w:val="18"/>
              </w:rPr>
              <w:t>5.2%</w:t>
            </w:r>
          </w:p>
        </w:tc>
      </w:tr>
      <w:tr w:rsidR="003F31E9" w:rsidRPr="00D23729" w14:paraId="08BC9E5D" w14:textId="77777777" w:rsidTr="001319A9">
        <w:trPr>
          <w:jc w:val="center"/>
        </w:trPr>
        <w:tc>
          <w:tcPr>
            <w:tcW w:w="1530" w:type="dxa"/>
            <w:tcBorders>
              <w:left w:val="nil"/>
            </w:tcBorders>
            <w:shd w:val="clear" w:color="auto" w:fill="auto"/>
            <w:vAlign w:val="bottom"/>
            <w:hideMark/>
          </w:tcPr>
          <w:p w14:paraId="342C8192" w14:textId="77777777" w:rsidR="003F31E9" w:rsidRPr="00D23729" w:rsidRDefault="003F31E9" w:rsidP="003F31E9">
            <w:pPr>
              <w:pStyle w:val="TableText"/>
              <w:rPr>
                <w:color w:val="000000"/>
              </w:rPr>
            </w:pPr>
            <w:r w:rsidRPr="00D23729">
              <w:rPr>
                <w:color w:val="000000"/>
              </w:rPr>
              <w:t>Monterey</w:t>
            </w:r>
          </w:p>
        </w:tc>
        <w:tc>
          <w:tcPr>
            <w:tcW w:w="1193" w:type="dxa"/>
            <w:shd w:val="clear" w:color="auto" w:fill="auto"/>
            <w:noWrap/>
            <w:vAlign w:val="bottom"/>
            <w:hideMark/>
          </w:tcPr>
          <w:p w14:paraId="2A738DB1" w14:textId="77777777" w:rsidR="003F31E9" w:rsidRPr="00D23729" w:rsidRDefault="003F31E9" w:rsidP="003F31E9">
            <w:pPr>
              <w:pStyle w:val="TableText"/>
              <w:rPr>
                <w:color w:val="000000"/>
                <w:szCs w:val="18"/>
              </w:rPr>
            </w:pPr>
            <w:r w:rsidRPr="00D23729">
              <w:rPr>
                <w:color w:val="000000"/>
                <w:szCs w:val="18"/>
              </w:rPr>
              <w:t>140,330</w:t>
            </w:r>
          </w:p>
        </w:tc>
        <w:tc>
          <w:tcPr>
            <w:tcW w:w="1193" w:type="dxa"/>
            <w:tcBorders>
              <w:right w:val="single" w:sz="8" w:space="0" w:color="auto"/>
            </w:tcBorders>
            <w:shd w:val="clear" w:color="auto" w:fill="auto"/>
            <w:noWrap/>
            <w:vAlign w:val="bottom"/>
            <w:hideMark/>
          </w:tcPr>
          <w:p w14:paraId="2E0F7600" w14:textId="77777777" w:rsidR="003F31E9" w:rsidRPr="00D23729" w:rsidRDefault="003F31E9" w:rsidP="003F31E9">
            <w:pPr>
              <w:pStyle w:val="TableText"/>
              <w:rPr>
                <w:color w:val="000000"/>
                <w:szCs w:val="18"/>
              </w:rPr>
            </w:pPr>
            <w:r w:rsidRPr="00D23729">
              <w:rPr>
                <w:color w:val="000000"/>
                <w:szCs w:val="18"/>
              </w:rPr>
              <w:t>13,991</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22EA868" w14:textId="77777777" w:rsidR="003F31E9" w:rsidRPr="00D23729" w:rsidRDefault="003F31E9" w:rsidP="003F31E9">
            <w:pPr>
              <w:pStyle w:val="TableText"/>
              <w:rPr>
                <w:szCs w:val="18"/>
              </w:rPr>
            </w:pPr>
            <w:r w:rsidRPr="00D23729">
              <w:rPr>
                <w:szCs w:val="18"/>
              </w:rPr>
              <w:t>10.0%</w:t>
            </w:r>
          </w:p>
        </w:tc>
        <w:tc>
          <w:tcPr>
            <w:tcW w:w="1551" w:type="dxa"/>
            <w:tcBorders>
              <w:left w:val="single" w:sz="12" w:space="0" w:color="auto"/>
            </w:tcBorders>
            <w:shd w:val="clear" w:color="auto" w:fill="auto"/>
            <w:vAlign w:val="bottom"/>
          </w:tcPr>
          <w:p w14:paraId="72FF5F6A" w14:textId="4E82E299" w:rsidR="003F31E9" w:rsidRPr="00D23729" w:rsidRDefault="003F31E9" w:rsidP="003F31E9">
            <w:pPr>
              <w:pStyle w:val="TableText"/>
              <w:rPr>
                <w:color w:val="000000"/>
              </w:rPr>
            </w:pPr>
            <w:r w:rsidRPr="00D23729">
              <w:rPr>
                <w:color w:val="000000"/>
              </w:rPr>
              <w:t>Yolo</w:t>
            </w:r>
          </w:p>
        </w:tc>
        <w:tc>
          <w:tcPr>
            <w:tcW w:w="1080" w:type="dxa"/>
            <w:shd w:val="clear" w:color="auto" w:fill="auto"/>
            <w:noWrap/>
            <w:vAlign w:val="bottom"/>
          </w:tcPr>
          <w:p w14:paraId="49FC6A35" w14:textId="0E3BDAE8" w:rsidR="003F31E9" w:rsidRPr="00D23729" w:rsidRDefault="003F31E9" w:rsidP="003F31E9">
            <w:pPr>
              <w:pStyle w:val="TableText"/>
              <w:rPr>
                <w:color w:val="000000"/>
                <w:szCs w:val="18"/>
              </w:rPr>
            </w:pPr>
            <w:r w:rsidRPr="00D23729">
              <w:rPr>
                <w:color w:val="000000"/>
                <w:szCs w:val="18"/>
              </w:rPr>
              <w:t>77,138</w:t>
            </w:r>
          </w:p>
        </w:tc>
        <w:tc>
          <w:tcPr>
            <w:tcW w:w="1170" w:type="dxa"/>
            <w:shd w:val="clear" w:color="auto" w:fill="auto"/>
            <w:noWrap/>
            <w:vAlign w:val="bottom"/>
          </w:tcPr>
          <w:p w14:paraId="7383411A" w14:textId="2949A929" w:rsidR="003F31E9" w:rsidRPr="00D23729" w:rsidRDefault="003F31E9" w:rsidP="003F31E9">
            <w:pPr>
              <w:pStyle w:val="TableText"/>
              <w:rPr>
                <w:color w:val="000000"/>
                <w:szCs w:val="18"/>
              </w:rPr>
            </w:pPr>
            <w:r w:rsidRPr="00D23729">
              <w:rPr>
                <w:color w:val="000000"/>
                <w:szCs w:val="18"/>
              </w:rPr>
              <w:t>3,509</w:t>
            </w:r>
          </w:p>
        </w:tc>
        <w:tc>
          <w:tcPr>
            <w:tcW w:w="1170" w:type="dxa"/>
            <w:tcBorders>
              <w:right w:val="nil"/>
            </w:tcBorders>
            <w:shd w:val="clear" w:color="auto" w:fill="auto"/>
            <w:noWrap/>
            <w:vAlign w:val="bottom"/>
          </w:tcPr>
          <w:p w14:paraId="0D657816" w14:textId="09EB4A30" w:rsidR="003F31E9" w:rsidRPr="00D23729" w:rsidRDefault="003F31E9" w:rsidP="003F31E9">
            <w:pPr>
              <w:pStyle w:val="TableText"/>
              <w:rPr>
                <w:szCs w:val="18"/>
              </w:rPr>
            </w:pPr>
            <w:r w:rsidRPr="00D23729">
              <w:rPr>
                <w:szCs w:val="18"/>
              </w:rPr>
              <w:t>4.5%</w:t>
            </w:r>
          </w:p>
        </w:tc>
      </w:tr>
      <w:tr w:rsidR="003F31E9" w:rsidRPr="00D23729" w14:paraId="2D362D95" w14:textId="77777777" w:rsidTr="001319A9">
        <w:trPr>
          <w:jc w:val="center"/>
        </w:trPr>
        <w:tc>
          <w:tcPr>
            <w:tcW w:w="1530" w:type="dxa"/>
            <w:tcBorders>
              <w:left w:val="nil"/>
            </w:tcBorders>
            <w:shd w:val="clear" w:color="auto" w:fill="auto"/>
            <w:vAlign w:val="bottom"/>
            <w:hideMark/>
          </w:tcPr>
          <w:p w14:paraId="47141C5E" w14:textId="77777777" w:rsidR="003F31E9" w:rsidRPr="00D23729" w:rsidRDefault="003F31E9" w:rsidP="003F31E9">
            <w:pPr>
              <w:pStyle w:val="TableText"/>
              <w:rPr>
                <w:color w:val="000000"/>
              </w:rPr>
            </w:pPr>
            <w:r w:rsidRPr="00D23729">
              <w:rPr>
                <w:color w:val="000000"/>
              </w:rPr>
              <w:t>Napa</w:t>
            </w:r>
          </w:p>
        </w:tc>
        <w:tc>
          <w:tcPr>
            <w:tcW w:w="1193" w:type="dxa"/>
            <w:shd w:val="clear" w:color="auto" w:fill="auto"/>
            <w:noWrap/>
            <w:vAlign w:val="bottom"/>
            <w:hideMark/>
          </w:tcPr>
          <w:p w14:paraId="69912008" w14:textId="77777777" w:rsidR="003F31E9" w:rsidRPr="00D23729" w:rsidRDefault="003F31E9" w:rsidP="003F31E9">
            <w:pPr>
              <w:pStyle w:val="TableText"/>
              <w:rPr>
                <w:color w:val="000000"/>
                <w:szCs w:val="18"/>
              </w:rPr>
            </w:pPr>
            <w:r w:rsidRPr="00D23729">
              <w:rPr>
                <w:color w:val="000000"/>
                <w:szCs w:val="18"/>
              </w:rPr>
              <w:t>55,157</w:t>
            </w:r>
          </w:p>
        </w:tc>
        <w:tc>
          <w:tcPr>
            <w:tcW w:w="1193" w:type="dxa"/>
            <w:tcBorders>
              <w:right w:val="single" w:sz="8" w:space="0" w:color="auto"/>
            </w:tcBorders>
            <w:shd w:val="clear" w:color="auto" w:fill="auto"/>
            <w:noWrap/>
            <w:vAlign w:val="bottom"/>
            <w:hideMark/>
          </w:tcPr>
          <w:p w14:paraId="7F86C398" w14:textId="77777777" w:rsidR="003F31E9" w:rsidRPr="00D23729" w:rsidRDefault="003F31E9" w:rsidP="003F31E9">
            <w:pPr>
              <w:pStyle w:val="TableText"/>
              <w:rPr>
                <w:color w:val="000000"/>
                <w:szCs w:val="18"/>
              </w:rPr>
            </w:pPr>
            <w:r w:rsidRPr="00D23729">
              <w:rPr>
                <w:color w:val="000000"/>
                <w:szCs w:val="18"/>
              </w:rPr>
              <w:t>5,876</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700AA59D" w14:textId="77777777" w:rsidR="003F31E9" w:rsidRPr="00D23729" w:rsidRDefault="003F31E9" w:rsidP="003F31E9">
            <w:pPr>
              <w:pStyle w:val="TableText"/>
              <w:rPr>
                <w:szCs w:val="18"/>
              </w:rPr>
            </w:pPr>
            <w:r w:rsidRPr="00D23729">
              <w:rPr>
                <w:szCs w:val="18"/>
              </w:rPr>
              <w:t>10.7%</w:t>
            </w:r>
          </w:p>
        </w:tc>
        <w:tc>
          <w:tcPr>
            <w:tcW w:w="1551" w:type="dxa"/>
            <w:tcBorders>
              <w:left w:val="single" w:sz="12" w:space="0" w:color="auto"/>
              <w:bottom w:val="single" w:sz="4" w:space="0" w:color="auto"/>
            </w:tcBorders>
            <w:shd w:val="clear" w:color="auto" w:fill="auto"/>
            <w:vAlign w:val="bottom"/>
          </w:tcPr>
          <w:p w14:paraId="63805A90" w14:textId="2289C112" w:rsidR="003F31E9" w:rsidRPr="00D23729" w:rsidRDefault="003F31E9" w:rsidP="003F31E9">
            <w:pPr>
              <w:pStyle w:val="TableText"/>
              <w:rPr>
                <w:color w:val="000000"/>
              </w:rPr>
            </w:pPr>
            <w:r w:rsidRPr="00D23729">
              <w:rPr>
                <w:color w:val="000000"/>
              </w:rPr>
              <w:t>Yuba</w:t>
            </w:r>
          </w:p>
        </w:tc>
        <w:tc>
          <w:tcPr>
            <w:tcW w:w="1080" w:type="dxa"/>
            <w:tcBorders>
              <w:bottom w:val="single" w:sz="4" w:space="0" w:color="auto"/>
            </w:tcBorders>
            <w:shd w:val="clear" w:color="auto" w:fill="auto"/>
            <w:noWrap/>
            <w:vAlign w:val="bottom"/>
          </w:tcPr>
          <w:p w14:paraId="4E1F411F" w14:textId="19C09AC5" w:rsidR="003F31E9" w:rsidRPr="00D23729" w:rsidRDefault="003F31E9" w:rsidP="003F31E9">
            <w:pPr>
              <w:pStyle w:val="TableText"/>
              <w:rPr>
                <w:color w:val="000000"/>
                <w:szCs w:val="18"/>
              </w:rPr>
            </w:pPr>
            <w:r w:rsidRPr="00D23729">
              <w:rPr>
                <w:color w:val="000000"/>
                <w:szCs w:val="18"/>
              </w:rPr>
              <w:t>28,324</w:t>
            </w:r>
          </w:p>
        </w:tc>
        <w:tc>
          <w:tcPr>
            <w:tcW w:w="1170" w:type="dxa"/>
            <w:tcBorders>
              <w:bottom w:val="single" w:sz="4" w:space="0" w:color="auto"/>
            </w:tcBorders>
            <w:shd w:val="clear" w:color="auto" w:fill="auto"/>
            <w:noWrap/>
            <w:vAlign w:val="bottom"/>
          </w:tcPr>
          <w:p w14:paraId="201210F0" w14:textId="0CFE3922" w:rsidR="003F31E9" w:rsidRPr="00D23729" w:rsidRDefault="003F31E9" w:rsidP="003F31E9">
            <w:pPr>
              <w:pStyle w:val="TableText"/>
              <w:rPr>
                <w:color w:val="000000"/>
                <w:szCs w:val="18"/>
              </w:rPr>
            </w:pPr>
            <w:r w:rsidRPr="00D23729">
              <w:rPr>
                <w:color w:val="000000"/>
                <w:szCs w:val="18"/>
              </w:rPr>
              <w:t>2,367</w:t>
            </w:r>
          </w:p>
        </w:tc>
        <w:tc>
          <w:tcPr>
            <w:tcW w:w="1170" w:type="dxa"/>
            <w:tcBorders>
              <w:bottom w:val="single" w:sz="4" w:space="0" w:color="auto"/>
              <w:right w:val="nil"/>
            </w:tcBorders>
            <w:shd w:val="clear" w:color="auto" w:fill="auto"/>
            <w:noWrap/>
            <w:vAlign w:val="bottom"/>
          </w:tcPr>
          <w:p w14:paraId="70209662" w14:textId="0FE27E5C" w:rsidR="003F31E9" w:rsidRPr="00D23729" w:rsidRDefault="003F31E9" w:rsidP="003F31E9">
            <w:pPr>
              <w:pStyle w:val="TableText"/>
              <w:rPr>
                <w:szCs w:val="18"/>
              </w:rPr>
            </w:pPr>
            <w:r w:rsidRPr="00D23729">
              <w:rPr>
                <w:szCs w:val="18"/>
              </w:rPr>
              <w:t>8.4%</w:t>
            </w:r>
          </w:p>
        </w:tc>
      </w:tr>
      <w:tr w:rsidR="001319A9" w:rsidRPr="00D23729" w14:paraId="0A09F50D" w14:textId="77777777" w:rsidTr="001319A9">
        <w:trPr>
          <w:jc w:val="center"/>
        </w:trPr>
        <w:tc>
          <w:tcPr>
            <w:tcW w:w="1530" w:type="dxa"/>
            <w:tcBorders>
              <w:left w:val="nil"/>
            </w:tcBorders>
            <w:shd w:val="clear" w:color="auto" w:fill="auto"/>
            <w:vAlign w:val="bottom"/>
          </w:tcPr>
          <w:p w14:paraId="59012FAC" w14:textId="2C6D2233" w:rsidR="001319A9" w:rsidRPr="00D23729" w:rsidRDefault="001319A9" w:rsidP="001319A9">
            <w:pPr>
              <w:pStyle w:val="TableText"/>
              <w:rPr>
                <w:color w:val="000000"/>
              </w:rPr>
            </w:pPr>
            <w:r w:rsidRPr="00D23729">
              <w:rPr>
                <w:color w:val="000000"/>
              </w:rPr>
              <w:t>Nevada</w:t>
            </w:r>
          </w:p>
        </w:tc>
        <w:tc>
          <w:tcPr>
            <w:tcW w:w="1193" w:type="dxa"/>
            <w:shd w:val="clear" w:color="auto" w:fill="auto"/>
            <w:noWrap/>
            <w:vAlign w:val="bottom"/>
          </w:tcPr>
          <w:p w14:paraId="1D8EC442" w14:textId="71C5C81B" w:rsidR="001319A9" w:rsidRPr="00D23729" w:rsidRDefault="001319A9" w:rsidP="001319A9">
            <w:pPr>
              <w:pStyle w:val="TableText"/>
              <w:rPr>
                <w:color w:val="000000"/>
                <w:szCs w:val="18"/>
              </w:rPr>
            </w:pPr>
            <w:r w:rsidRPr="00D23729">
              <w:rPr>
                <w:color w:val="000000"/>
                <w:szCs w:val="18"/>
              </w:rPr>
              <w:t>53,745</w:t>
            </w:r>
          </w:p>
        </w:tc>
        <w:tc>
          <w:tcPr>
            <w:tcW w:w="1193" w:type="dxa"/>
            <w:tcBorders>
              <w:right w:val="single" w:sz="8" w:space="0" w:color="auto"/>
            </w:tcBorders>
            <w:shd w:val="clear" w:color="auto" w:fill="auto"/>
            <w:noWrap/>
            <w:vAlign w:val="bottom"/>
          </w:tcPr>
          <w:p w14:paraId="090BEB9A" w14:textId="4B9A9BE2" w:rsidR="001319A9" w:rsidRPr="00D23729" w:rsidRDefault="001319A9" w:rsidP="001319A9">
            <w:pPr>
              <w:pStyle w:val="TableText"/>
              <w:rPr>
                <w:color w:val="000000"/>
                <w:szCs w:val="18"/>
              </w:rPr>
            </w:pPr>
            <w:r w:rsidRPr="00D23729">
              <w:rPr>
                <w:color w:val="000000"/>
                <w:szCs w:val="18"/>
              </w:rPr>
              <w:t>12,098</w:t>
            </w:r>
          </w:p>
        </w:tc>
        <w:tc>
          <w:tcPr>
            <w:tcW w:w="1193" w:type="dxa"/>
            <w:tcBorders>
              <w:top w:val="single" w:sz="8" w:space="0" w:color="auto"/>
              <w:left w:val="single" w:sz="8" w:space="0" w:color="auto"/>
              <w:bottom w:val="single" w:sz="8" w:space="0" w:color="auto"/>
              <w:right w:val="single" w:sz="12" w:space="0" w:color="auto"/>
            </w:tcBorders>
            <w:shd w:val="clear" w:color="auto" w:fill="auto"/>
            <w:noWrap/>
            <w:vAlign w:val="bottom"/>
          </w:tcPr>
          <w:p w14:paraId="295A1B55" w14:textId="055B127C" w:rsidR="001319A9" w:rsidRPr="00D23729" w:rsidRDefault="001319A9" w:rsidP="001319A9">
            <w:pPr>
              <w:pStyle w:val="TableText"/>
              <w:rPr>
                <w:szCs w:val="18"/>
              </w:rPr>
            </w:pPr>
            <w:r w:rsidRPr="00D23729">
              <w:rPr>
                <w:szCs w:val="18"/>
              </w:rPr>
              <w:t>22.5%</w:t>
            </w:r>
          </w:p>
        </w:tc>
        <w:tc>
          <w:tcPr>
            <w:tcW w:w="1551" w:type="dxa"/>
            <w:tcBorders>
              <w:left w:val="single" w:sz="12" w:space="0" w:color="auto"/>
              <w:right w:val="nil"/>
            </w:tcBorders>
            <w:shd w:val="clear" w:color="auto" w:fill="auto"/>
            <w:vAlign w:val="bottom"/>
          </w:tcPr>
          <w:p w14:paraId="00D7620D" w14:textId="77777777" w:rsidR="001319A9" w:rsidRPr="00D23729" w:rsidRDefault="001319A9" w:rsidP="001319A9">
            <w:pPr>
              <w:pStyle w:val="TableText"/>
              <w:rPr>
                <w:color w:val="000000"/>
              </w:rPr>
            </w:pPr>
          </w:p>
        </w:tc>
        <w:tc>
          <w:tcPr>
            <w:tcW w:w="1080" w:type="dxa"/>
            <w:tcBorders>
              <w:left w:val="nil"/>
              <w:right w:val="nil"/>
            </w:tcBorders>
            <w:shd w:val="clear" w:color="auto" w:fill="auto"/>
            <w:noWrap/>
            <w:vAlign w:val="bottom"/>
          </w:tcPr>
          <w:p w14:paraId="61D93BDA" w14:textId="77777777" w:rsidR="001319A9" w:rsidRPr="00D23729" w:rsidRDefault="001319A9" w:rsidP="001319A9">
            <w:pPr>
              <w:pStyle w:val="TableText"/>
              <w:rPr>
                <w:color w:val="000000"/>
                <w:szCs w:val="18"/>
              </w:rPr>
            </w:pPr>
          </w:p>
        </w:tc>
        <w:tc>
          <w:tcPr>
            <w:tcW w:w="1170" w:type="dxa"/>
            <w:tcBorders>
              <w:left w:val="nil"/>
              <w:right w:val="nil"/>
            </w:tcBorders>
            <w:shd w:val="clear" w:color="auto" w:fill="auto"/>
            <w:noWrap/>
            <w:vAlign w:val="bottom"/>
          </w:tcPr>
          <w:p w14:paraId="65D9FDB3" w14:textId="77777777" w:rsidR="001319A9" w:rsidRPr="00D23729" w:rsidRDefault="001319A9" w:rsidP="001319A9">
            <w:pPr>
              <w:pStyle w:val="TableText"/>
              <w:rPr>
                <w:color w:val="000000"/>
                <w:szCs w:val="18"/>
              </w:rPr>
            </w:pPr>
          </w:p>
        </w:tc>
        <w:tc>
          <w:tcPr>
            <w:tcW w:w="1170" w:type="dxa"/>
            <w:tcBorders>
              <w:left w:val="nil"/>
              <w:right w:val="nil"/>
            </w:tcBorders>
            <w:shd w:val="clear" w:color="auto" w:fill="auto"/>
            <w:noWrap/>
            <w:vAlign w:val="bottom"/>
          </w:tcPr>
          <w:p w14:paraId="76E6A9B8" w14:textId="77777777" w:rsidR="001319A9" w:rsidRPr="00D23729" w:rsidRDefault="001319A9" w:rsidP="001319A9">
            <w:pPr>
              <w:pStyle w:val="TableText"/>
              <w:rPr>
                <w:szCs w:val="18"/>
              </w:rPr>
            </w:pPr>
          </w:p>
        </w:tc>
      </w:tr>
    </w:tbl>
    <w:p w14:paraId="0DCB34CA" w14:textId="77777777" w:rsidR="00505F44" w:rsidRPr="00D23729" w:rsidRDefault="00505F44" w:rsidP="001319A9">
      <w:pPr>
        <w:pStyle w:val="TableSource"/>
      </w:pPr>
      <w:r>
        <w:t>Source: DOF 2018c</w:t>
      </w:r>
    </w:p>
    <w:p w14:paraId="1B0F5D74" w14:textId="2F997925" w:rsidR="00B761F7" w:rsidRDefault="00B761F7" w:rsidP="00B761F7">
      <w:pPr>
        <w:pStyle w:val="Heading5"/>
      </w:pPr>
      <w:r>
        <w:t>Employment</w:t>
      </w:r>
    </w:p>
    <w:p w14:paraId="2DC9424E" w14:textId="26D951D2" w:rsidR="00BA6216" w:rsidRDefault="005B56CA" w:rsidP="00BA6216">
      <w:pPr>
        <w:pStyle w:val="BodyText"/>
      </w:pPr>
      <w:r>
        <w:t>The housing characteristics for California and counties in the treatable landscape (i.e., all counties except San Francisco</w:t>
      </w:r>
      <w:r w:rsidR="00FF473E">
        <w:t xml:space="preserve"> and Sutter, which do not contain SRA land</w:t>
      </w:r>
      <w:r>
        <w:t xml:space="preserve">) are </w:t>
      </w:r>
      <w:r w:rsidRPr="00465332">
        <w:t>provided in Table 3.12-</w:t>
      </w:r>
      <w:r w:rsidR="003F4646">
        <w:t>5</w:t>
      </w:r>
      <w:r w:rsidRPr="00465332">
        <w:t xml:space="preserve">. </w:t>
      </w:r>
      <w:r w:rsidR="008A1262" w:rsidRPr="00465332">
        <w:t>The</w:t>
      </w:r>
      <w:r w:rsidR="008A1262">
        <w:t xml:space="preserve"> statewide unemployment rate is 4.8 percent. </w:t>
      </w:r>
      <w:r w:rsidR="005958AA">
        <w:t>The unemployment rate for</w:t>
      </w:r>
      <w:r w:rsidR="00363FBD">
        <w:t xml:space="preserve"> individual counties in California ranges between 2.7 percent in San Mateo</w:t>
      </w:r>
      <w:r w:rsidR="002251A8">
        <w:t xml:space="preserve"> County to 19.1 percent in Imperial County. </w:t>
      </w:r>
      <w:r w:rsidR="001579C4">
        <w:t xml:space="preserve">Over half of the counties in the state have </w:t>
      </w:r>
      <w:r w:rsidR="00B3399B">
        <w:t>unemployment rates that exceed the statewide unemployment rate.</w:t>
      </w:r>
    </w:p>
    <w:p w14:paraId="4D07E52A" w14:textId="77777777" w:rsidR="00505F44" w:rsidRPr="00ED0785" w:rsidRDefault="00505F44" w:rsidP="00ED0785">
      <w:pPr>
        <w:pStyle w:val="TableHeader"/>
      </w:pPr>
      <w:bookmarkStart w:id="9" w:name="_Toc23837154"/>
      <w:r>
        <w:t>Table 3.12-5</w:t>
      </w:r>
      <w:r>
        <w:tab/>
        <w:t xml:space="preserve">Unemployment for </w:t>
      </w:r>
      <w:r w:rsidRPr="0046755A">
        <w:t xml:space="preserve">California and Counties in the </w:t>
      </w:r>
      <w:r>
        <w:t>Treatable Landscape</w:t>
      </w:r>
      <w:bookmarkEnd w:id="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222"/>
        <w:gridCol w:w="1702"/>
        <w:gridCol w:w="933"/>
        <w:gridCol w:w="2472"/>
        <w:gridCol w:w="1818"/>
        <w:gridCol w:w="933"/>
      </w:tblGrid>
      <w:tr w:rsidR="00572B30" w:rsidRPr="00ED0785" w14:paraId="091C91F4" w14:textId="77777777" w:rsidTr="009E52E1">
        <w:trPr>
          <w:tblHeader/>
          <w:jc w:val="center"/>
        </w:trPr>
        <w:tc>
          <w:tcPr>
            <w:tcW w:w="2222" w:type="dxa"/>
            <w:tcBorders>
              <w:left w:val="nil"/>
            </w:tcBorders>
            <w:shd w:val="clear" w:color="auto" w:fill="D9D9D9" w:themeFill="background1" w:themeFillShade="D9"/>
            <w:noWrap/>
            <w:vAlign w:val="bottom"/>
            <w:hideMark/>
          </w:tcPr>
          <w:p w14:paraId="61033EA5" w14:textId="77777777" w:rsidR="00ED0785" w:rsidRPr="00ED0785" w:rsidRDefault="00ED0785" w:rsidP="00ED0785">
            <w:pPr>
              <w:pStyle w:val="TableColumn"/>
            </w:pPr>
            <w:r w:rsidRPr="00ED0785">
              <w:t>Geographic Area</w:t>
            </w:r>
          </w:p>
        </w:tc>
        <w:tc>
          <w:tcPr>
            <w:tcW w:w="1702" w:type="dxa"/>
            <w:shd w:val="clear" w:color="auto" w:fill="D9D9D9" w:themeFill="background1" w:themeFillShade="D9"/>
            <w:noWrap/>
            <w:vAlign w:val="bottom"/>
            <w:hideMark/>
          </w:tcPr>
          <w:p w14:paraId="54873461" w14:textId="77777777" w:rsidR="00ED0785" w:rsidRPr="00ED0785" w:rsidRDefault="00ED0785" w:rsidP="00ED0785">
            <w:pPr>
              <w:pStyle w:val="TableColumn"/>
            </w:pPr>
            <w:r w:rsidRPr="00ED0785">
              <w:t>Unemployment</w:t>
            </w:r>
          </w:p>
        </w:tc>
        <w:tc>
          <w:tcPr>
            <w:tcW w:w="933" w:type="dxa"/>
            <w:tcBorders>
              <w:right w:val="single" w:sz="12" w:space="0" w:color="auto"/>
            </w:tcBorders>
            <w:shd w:val="clear" w:color="auto" w:fill="D9D9D9" w:themeFill="background1" w:themeFillShade="D9"/>
            <w:noWrap/>
            <w:vAlign w:val="bottom"/>
            <w:hideMark/>
          </w:tcPr>
          <w:p w14:paraId="61F1516A" w14:textId="77777777" w:rsidR="00ED0785" w:rsidRPr="00ED0785" w:rsidRDefault="00ED0785" w:rsidP="00ED0785">
            <w:pPr>
              <w:pStyle w:val="TableColumn"/>
            </w:pPr>
            <w:r w:rsidRPr="00ED0785">
              <w:t>Rate</w:t>
            </w:r>
          </w:p>
        </w:tc>
        <w:tc>
          <w:tcPr>
            <w:tcW w:w="2472" w:type="dxa"/>
            <w:tcBorders>
              <w:left w:val="single" w:sz="12" w:space="0" w:color="auto"/>
              <w:bottom w:val="single" w:sz="4" w:space="0" w:color="auto"/>
            </w:tcBorders>
            <w:shd w:val="clear" w:color="auto" w:fill="D9D9D9" w:themeFill="background1" w:themeFillShade="D9"/>
            <w:noWrap/>
            <w:vAlign w:val="bottom"/>
            <w:hideMark/>
          </w:tcPr>
          <w:p w14:paraId="01CD4A18" w14:textId="77777777" w:rsidR="00ED0785" w:rsidRPr="00ED0785" w:rsidRDefault="00ED0785" w:rsidP="00ED0785">
            <w:pPr>
              <w:pStyle w:val="TableColumn"/>
            </w:pPr>
            <w:r w:rsidRPr="00ED0785">
              <w:t>Geographic Area</w:t>
            </w:r>
          </w:p>
        </w:tc>
        <w:tc>
          <w:tcPr>
            <w:tcW w:w="1818" w:type="dxa"/>
            <w:tcBorders>
              <w:bottom w:val="single" w:sz="4" w:space="0" w:color="auto"/>
            </w:tcBorders>
            <w:shd w:val="clear" w:color="auto" w:fill="D9D9D9" w:themeFill="background1" w:themeFillShade="D9"/>
            <w:noWrap/>
            <w:vAlign w:val="bottom"/>
            <w:hideMark/>
          </w:tcPr>
          <w:p w14:paraId="3BA0347D" w14:textId="77777777" w:rsidR="00ED0785" w:rsidRPr="00ED0785" w:rsidRDefault="00ED0785" w:rsidP="00ED0785">
            <w:pPr>
              <w:pStyle w:val="TableColumn"/>
            </w:pPr>
            <w:r w:rsidRPr="00ED0785">
              <w:t>Unemployment</w:t>
            </w:r>
          </w:p>
        </w:tc>
        <w:tc>
          <w:tcPr>
            <w:tcW w:w="933" w:type="dxa"/>
            <w:tcBorders>
              <w:bottom w:val="single" w:sz="4" w:space="0" w:color="auto"/>
              <w:right w:val="nil"/>
            </w:tcBorders>
            <w:shd w:val="clear" w:color="auto" w:fill="D9D9D9" w:themeFill="background1" w:themeFillShade="D9"/>
            <w:noWrap/>
            <w:vAlign w:val="bottom"/>
            <w:hideMark/>
          </w:tcPr>
          <w:p w14:paraId="0C0A7AFA" w14:textId="77777777" w:rsidR="00ED0785" w:rsidRPr="00ED0785" w:rsidRDefault="00ED0785" w:rsidP="00ED0785">
            <w:pPr>
              <w:pStyle w:val="TableColumn"/>
            </w:pPr>
            <w:r w:rsidRPr="00ED0785">
              <w:t>Rate</w:t>
            </w:r>
          </w:p>
        </w:tc>
      </w:tr>
      <w:tr w:rsidR="009E52E1" w:rsidRPr="00ED0785" w14:paraId="678743E6" w14:textId="77777777" w:rsidTr="009E52E1">
        <w:trPr>
          <w:jc w:val="center"/>
        </w:trPr>
        <w:tc>
          <w:tcPr>
            <w:tcW w:w="2222" w:type="dxa"/>
            <w:tcBorders>
              <w:left w:val="nil"/>
            </w:tcBorders>
            <w:shd w:val="clear" w:color="auto" w:fill="auto"/>
            <w:noWrap/>
            <w:vAlign w:val="bottom"/>
          </w:tcPr>
          <w:p w14:paraId="5A7EEB48" w14:textId="393417F8" w:rsidR="009E52E1" w:rsidRPr="00ED0785" w:rsidRDefault="009E52E1" w:rsidP="009E52E1">
            <w:pPr>
              <w:pStyle w:val="TableText"/>
            </w:pPr>
            <w:r w:rsidRPr="00ED0785">
              <w:t>California</w:t>
            </w:r>
          </w:p>
        </w:tc>
        <w:tc>
          <w:tcPr>
            <w:tcW w:w="1702" w:type="dxa"/>
            <w:shd w:val="clear" w:color="auto" w:fill="auto"/>
            <w:noWrap/>
            <w:vAlign w:val="bottom"/>
          </w:tcPr>
          <w:p w14:paraId="52151F2B" w14:textId="1E88636E" w:rsidR="009E52E1" w:rsidRPr="00ED0785" w:rsidRDefault="009E52E1" w:rsidP="009E52E1">
            <w:pPr>
              <w:pStyle w:val="TableText"/>
            </w:pPr>
            <w:r w:rsidRPr="00ED0785">
              <w:t>918,900</w:t>
            </w:r>
          </w:p>
        </w:tc>
        <w:tc>
          <w:tcPr>
            <w:tcW w:w="933" w:type="dxa"/>
            <w:tcBorders>
              <w:right w:val="single" w:sz="12" w:space="0" w:color="auto"/>
            </w:tcBorders>
            <w:shd w:val="clear" w:color="auto" w:fill="auto"/>
            <w:noWrap/>
            <w:vAlign w:val="bottom"/>
          </w:tcPr>
          <w:p w14:paraId="0F5991AF" w14:textId="715B40BC" w:rsidR="009E52E1" w:rsidRPr="00ED0785" w:rsidRDefault="009E52E1" w:rsidP="009E52E1">
            <w:pPr>
              <w:pStyle w:val="TableText"/>
            </w:pPr>
            <w:r w:rsidRPr="00ED0785">
              <w:t>4.8%</w:t>
            </w:r>
          </w:p>
        </w:tc>
        <w:tc>
          <w:tcPr>
            <w:tcW w:w="2472" w:type="dxa"/>
            <w:tcBorders>
              <w:left w:val="single" w:sz="12" w:space="0" w:color="auto"/>
              <w:right w:val="nil"/>
            </w:tcBorders>
            <w:shd w:val="clear" w:color="auto" w:fill="auto"/>
            <w:noWrap/>
            <w:vAlign w:val="bottom"/>
          </w:tcPr>
          <w:p w14:paraId="7A36B0FA" w14:textId="77777777" w:rsidR="009E52E1" w:rsidRPr="00ED0785" w:rsidRDefault="009E52E1" w:rsidP="009E52E1">
            <w:pPr>
              <w:pStyle w:val="TableText"/>
            </w:pPr>
          </w:p>
        </w:tc>
        <w:tc>
          <w:tcPr>
            <w:tcW w:w="1818" w:type="dxa"/>
            <w:tcBorders>
              <w:left w:val="nil"/>
              <w:right w:val="nil"/>
            </w:tcBorders>
            <w:shd w:val="clear" w:color="auto" w:fill="auto"/>
            <w:noWrap/>
            <w:vAlign w:val="bottom"/>
          </w:tcPr>
          <w:p w14:paraId="1F304ED3" w14:textId="77777777" w:rsidR="009E52E1" w:rsidRPr="00ED0785" w:rsidRDefault="009E52E1" w:rsidP="009E52E1">
            <w:pPr>
              <w:pStyle w:val="TableText"/>
            </w:pPr>
          </w:p>
        </w:tc>
        <w:tc>
          <w:tcPr>
            <w:tcW w:w="933" w:type="dxa"/>
            <w:tcBorders>
              <w:left w:val="nil"/>
              <w:right w:val="nil"/>
            </w:tcBorders>
            <w:shd w:val="clear" w:color="auto" w:fill="auto"/>
            <w:noWrap/>
            <w:vAlign w:val="bottom"/>
          </w:tcPr>
          <w:p w14:paraId="1B4CACA0" w14:textId="77777777" w:rsidR="009E52E1" w:rsidRPr="00ED0785" w:rsidRDefault="009E52E1" w:rsidP="009E52E1">
            <w:pPr>
              <w:pStyle w:val="TableText"/>
            </w:pPr>
          </w:p>
        </w:tc>
      </w:tr>
      <w:tr w:rsidR="009E52E1" w:rsidRPr="00ED0785" w14:paraId="740BD6A1" w14:textId="77777777" w:rsidTr="009E52E1">
        <w:trPr>
          <w:jc w:val="center"/>
        </w:trPr>
        <w:tc>
          <w:tcPr>
            <w:tcW w:w="2222" w:type="dxa"/>
            <w:tcBorders>
              <w:left w:val="nil"/>
            </w:tcBorders>
            <w:shd w:val="clear" w:color="auto" w:fill="auto"/>
            <w:noWrap/>
            <w:vAlign w:val="bottom"/>
            <w:hideMark/>
          </w:tcPr>
          <w:p w14:paraId="2817FBE8" w14:textId="77777777" w:rsidR="009E52E1" w:rsidRPr="00ED0785" w:rsidRDefault="009E52E1" w:rsidP="009E52E1">
            <w:pPr>
              <w:pStyle w:val="TableText"/>
            </w:pPr>
            <w:r w:rsidRPr="00ED0785">
              <w:t>Alameda County</w:t>
            </w:r>
          </w:p>
        </w:tc>
        <w:tc>
          <w:tcPr>
            <w:tcW w:w="1702" w:type="dxa"/>
            <w:shd w:val="clear" w:color="auto" w:fill="auto"/>
            <w:noWrap/>
            <w:vAlign w:val="bottom"/>
            <w:hideMark/>
          </w:tcPr>
          <w:p w14:paraId="3B27CAF3" w14:textId="77777777" w:rsidR="009E52E1" w:rsidRPr="00ED0785" w:rsidRDefault="009E52E1" w:rsidP="009E52E1">
            <w:pPr>
              <w:pStyle w:val="TableText"/>
            </w:pPr>
            <w:r w:rsidRPr="00ED0785">
              <w:t>30,900</w:t>
            </w:r>
          </w:p>
        </w:tc>
        <w:tc>
          <w:tcPr>
            <w:tcW w:w="933" w:type="dxa"/>
            <w:tcBorders>
              <w:right w:val="single" w:sz="12" w:space="0" w:color="auto"/>
            </w:tcBorders>
            <w:shd w:val="clear" w:color="auto" w:fill="auto"/>
            <w:noWrap/>
            <w:vAlign w:val="bottom"/>
            <w:hideMark/>
          </w:tcPr>
          <w:p w14:paraId="00A193B0" w14:textId="40728A66" w:rsidR="009E52E1" w:rsidRPr="00ED0785" w:rsidRDefault="009E52E1" w:rsidP="009E52E1">
            <w:pPr>
              <w:pStyle w:val="TableText"/>
            </w:pPr>
            <w:r w:rsidRPr="00ED0785">
              <w:t>3.6</w:t>
            </w:r>
            <w:r>
              <w:t>%</w:t>
            </w:r>
          </w:p>
        </w:tc>
        <w:tc>
          <w:tcPr>
            <w:tcW w:w="2472" w:type="dxa"/>
            <w:tcBorders>
              <w:left w:val="single" w:sz="12" w:space="0" w:color="auto"/>
            </w:tcBorders>
            <w:shd w:val="clear" w:color="auto" w:fill="auto"/>
            <w:noWrap/>
            <w:vAlign w:val="bottom"/>
            <w:hideMark/>
          </w:tcPr>
          <w:p w14:paraId="51AB7E62" w14:textId="77777777" w:rsidR="009E52E1" w:rsidRPr="00ED0785" w:rsidRDefault="009E52E1" w:rsidP="009E52E1">
            <w:pPr>
              <w:pStyle w:val="TableText"/>
            </w:pPr>
            <w:r w:rsidRPr="00ED0785">
              <w:t>Orange County</w:t>
            </w:r>
          </w:p>
        </w:tc>
        <w:tc>
          <w:tcPr>
            <w:tcW w:w="1818" w:type="dxa"/>
            <w:shd w:val="clear" w:color="auto" w:fill="auto"/>
            <w:noWrap/>
            <w:vAlign w:val="bottom"/>
            <w:hideMark/>
          </w:tcPr>
          <w:p w14:paraId="3B1C5F54" w14:textId="77777777" w:rsidR="009E52E1" w:rsidRPr="00ED0785" w:rsidRDefault="009E52E1" w:rsidP="009E52E1">
            <w:pPr>
              <w:pStyle w:val="TableText"/>
            </w:pPr>
            <w:r w:rsidRPr="00ED0785">
              <w:t>56,600</w:t>
            </w:r>
          </w:p>
        </w:tc>
        <w:tc>
          <w:tcPr>
            <w:tcW w:w="933" w:type="dxa"/>
            <w:tcBorders>
              <w:right w:val="nil"/>
            </w:tcBorders>
            <w:shd w:val="clear" w:color="auto" w:fill="auto"/>
            <w:noWrap/>
            <w:vAlign w:val="bottom"/>
            <w:hideMark/>
          </w:tcPr>
          <w:p w14:paraId="4A81E3C5" w14:textId="537C5A13" w:rsidR="009E52E1" w:rsidRPr="00ED0785" w:rsidRDefault="009E52E1" w:rsidP="009E52E1">
            <w:pPr>
              <w:pStyle w:val="TableText"/>
            </w:pPr>
            <w:r w:rsidRPr="00ED0785">
              <w:t>3.5</w:t>
            </w:r>
            <w:r>
              <w:t>%</w:t>
            </w:r>
          </w:p>
        </w:tc>
      </w:tr>
      <w:tr w:rsidR="009E52E1" w:rsidRPr="00ED0785" w14:paraId="79EE8FA6" w14:textId="77777777" w:rsidTr="009E52E1">
        <w:trPr>
          <w:jc w:val="center"/>
        </w:trPr>
        <w:tc>
          <w:tcPr>
            <w:tcW w:w="2222" w:type="dxa"/>
            <w:tcBorders>
              <w:left w:val="nil"/>
            </w:tcBorders>
            <w:shd w:val="clear" w:color="auto" w:fill="auto"/>
            <w:noWrap/>
            <w:vAlign w:val="bottom"/>
            <w:hideMark/>
          </w:tcPr>
          <w:p w14:paraId="0535C512" w14:textId="77777777" w:rsidR="009E52E1" w:rsidRPr="00ED0785" w:rsidRDefault="009E52E1" w:rsidP="009E52E1">
            <w:pPr>
              <w:pStyle w:val="TableText"/>
            </w:pPr>
            <w:r w:rsidRPr="00ED0785">
              <w:t>Alpine County</w:t>
            </w:r>
          </w:p>
        </w:tc>
        <w:tc>
          <w:tcPr>
            <w:tcW w:w="1702" w:type="dxa"/>
            <w:shd w:val="clear" w:color="auto" w:fill="auto"/>
            <w:noWrap/>
            <w:vAlign w:val="bottom"/>
            <w:hideMark/>
          </w:tcPr>
          <w:p w14:paraId="7AD5EA46" w14:textId="77777777" w:rsidR="009E52E1" w:rsidRPr="00ED0785" w:rsidRDefault="009E52E1" w:rsidP="009E52E1">
            <w:pPr>
              <w:pStyle w:val="TableText"/>
            </w:pPr>
            <w:r w:rsidRPr="00ED0785">
              <w:t>30</w:t>
            </w:r>
          </w:p>
        </w:tc>
        <w:tc>
          <w:tcPr>
            <w:tcW w:w="933" w:type="dxa"/>
            <w:tcBorders>
              <w:right w:val="single" w:sz="12" w:space="0" w:color="auto"/>
            </w:tcBorders>
            <w:shd w:val="clear" w:color="auto" w:fill="auto"/>
            <w:noWrap/>
            <w:vAlign w:val="bottom"/>
            <w:hideMark/>
          </w:tcPr>
          <w:p w14:paraId="7B897C1B" w14:textId="708283A7" w:rsidR="009E52E1" w:rsidRPr="00ED0785" w:rsidRDefault="009E52E1" w:rsidP="009E52E1">
            <w:pPr>
              <w:pStyle w:val="TableText"/>
            </w:pPr>
            <w:r w:rsidRPr="00ED0785">
              <w:t>6.1</w:t>
            </w:r>
            <w:r>
              <w:t>%</w:t>
            </w:r>
          </w:p>
        </w:tc>
        <w:tc>
          <w:tcPr>
            <w:tcW w:w="2472" w:type="dxa"/>
            <w:tcBorders>
              <w:left w:val="single" w:sz="12" w:space="0" w:color="auto"/>
            </w:tcBorders>
            <w:shd w:val="clear" w:color="auto" w:fill="auto"/>
            <w:noWrap/>
            <w:vAlign w:val="bottom"/>
            <w:hideMark/>
          </w:tcPr>
          <w:p w14:paraId="646B219A" w14:textId="77777777" w:rsidR="009E52E1" w:rsidRPr="00ED0785" w:rsidRDefault="009E52E1" w:rsidP="009E52E1">
            <w:pPr>
              <w:pStyle w:val="TableText"/>
            </w:pPr>
            <w:r w:rsidRPr="00ED0785">
              <w:t>Placer County</w:t>
            </w:r>
          </w:p>
        </w:tc>
        <w:tc>
          <w:tcPr>
            <w:tcW w:w="1818" w:type="dxa"/>
            <w:shd w:val="clear" w:color="auto" w:fill="auto"/>
            <w:noWrap/>
            <w:vAlign w:val="bottom"/>
            <w:hideMark/>
          </w:tcPr>
          <w:p w14:paraId="7CF4EC48" w14:textId="77777777" w:rsidR="009E52E1" w:rsidRPr="00ED0785" w:rsidRDefault="009E52E1" w:rsidP="009E52E1">
            <w:pPr>
              <w:pStyle w:val="TableText"/>
            </w:pPr>
            <w:r w:rsidRPr="00ED0785">
              <w:t>7,000</w:t>
            </w:r>
          </w:p>
        </w:tc>
        <w:tc>
          <w:tcPr>
            <w:tcW w:w="933" w:type="dxa"/>
            <w:tcBorders>
              <w:right w:val="nil"/>
            </w:tcBorders>
            <w:shd w:val="clear" w:color="auto" w:fill="auto"/>
            <w:noWrap/>
            <w:vAlign w:val="bottom"/>
            <w:hideMark/>
          </w:tcPr>
          <w:p w14:paraId="5B19701B" w14:textId="64986E55" w:rsidR="009E52E1" w:rsidRPr="00ED0785" w:rsidRDefault="009E52E1" w:rsidP="009E52E1">
            <w:pPr>
              <w:pStyle w:val="TableText"/>
            </w:pPr>
            <w:r w:rsidRPr="00ED0785">
              <w:t>3.8</w:t>
            </w:r>
            <w:r>
              <w:t>%</w:t>
            </w:r>
          </w:p>
        </w:tc>
      </w:tr>
      <w:tr w:rsidR="009E52E1" w:rsidRPr="00ED0785" w14:paraId="7F9729FC" w14:textId="77777777" w:rsidTr="009E52E1">
        <w:trPr>
          <w:jc w:val="center"/>
        </w:trPr>
        <w:tc>
          <w:tcPr>
            <w:tcW w:w="2222" w:type="dxa"/>
            <w:tcBorders>
              <w:left w:val="nil"/>
            </w:tcBorders>
            <w:shd w:val="clear" w:color="auto" w:fill="auto"/>
            <w:noWrap/>
            <w:vAlign w:val="bottom"/>
            <w:hideMark/>
          </w:tcPr>
          <w:p w14:paraId="5009DD52" w14:textId="77777777" w:rsidR="009E52E1" w:rsidRPr="00ED0785" w:rsidRDefault="009E52E1" w:rsidP="009E52E1">
            <w:pPr>
              <w:pStyle w:val="TableText"/>
            </w:pPr>
            <w:r w:rsidRPr="00ED0785">
              <w:t>Amador County</w:t>
            </w:r>
          </w:p>
        </w:tc>
        <w:tc>
          <w:tcPr>
            <w:tcW w:w="1702" w:type="dxa"/>
            <w:shd w:val="clear" w:color="auto" w:fill="auto"/>
            <w:noWrap/>
            <w:vAlign w:val="bottom"/>
            <w:hideMark/>
          </w:tcPr>
          <w:p w14:paraId="257C831C" w14:textId="77777777" w:rsidR="009E52E1" w:rsidRPr="00ED0785" w:rsidRDefault="009E52E1" w:rsidP="009E52E1">
            <w:pPr>
              <w:pStyle w:val="TableText"/>
            </w:pPr>
            <w:r w:rsidRPr="00ED0785">
              <w:t>720</w:t>
            </w:r>
          </w:p>
        </w:tc>
        <w:tc>
          <w:tcPr>
            <w:tcW w:w="933" w:type="dxa"/>
            <w:tcBorders>
              <w:right w:val="single" w:sz="12" w:space="0" w:color="auto"/>
            </w:tcBorders>
            <w:shd w:val="clear" w:color="auto" w:fill="auto"/>
            <w:noWrap/>
            <w:vAlign w:val="bottom"/>
            <w:hideMark/>
          </w:tcPr>
          <w:p w14:paraId="34BE875D" w14:textId="5A019D45" w:rsidR="009E52E1" w:rsidRPr="00ED0785" w:rsidRDefault="009E52E1" w:rsidP="009E52E1">
            <w:pPr>
              <w:pStyle w:val="TableText"/>
            </w:pPr>
            <w:r w:rsidRPr="00ED0785">
              <w:t>4.9</w:t>
            </w:r>
            <w:r>
              <w:t>%</w:t>
            </w:r>
          </w:p>
        </w:tc>
        <w:tc>
          <w:tcPr>
            <w:tcW w:w="2472" w:type="dxa"/>
            <w:tcBorders>
              <w:left w:val="single" w:sz="12" w:space="0" w:color="auto"/>
            </w:tcBorders>
            <w:shd w:val="clear" w:color="auto" w:fill="auto"/>
            <w:noWrap/>
            <w:vAlign w:val="bottom"/>
            <w:hideMark/>
          </w:tcPr>
          <w:p w14:paraId="0C5BCB7D" w14:textId="77777777" w:rsidR="009E52E1" w:rsidRPr="00ED0785" w:rsidRDefault="009E52E1" w:rsidP="009E52E1">
            <w:pPr>
              <w:pStyle w:val="TableText"/>
            </w:pPr>
            <w:r w:rsidRPr="00ED0785">
              <w:t>Plumas County</w:t>
            </w:r>
          </w:p>
        </w:tc>
        <w:tc>
          <w:tcPr>
            <w:tcW w:w="1818" w:type="dxa"/>
            <w:shd w:val="clear" w:color="auto" w:fill="auto"/>
            <w:noWrap/>
            <w:vAlign w:val="bottom"/>
            <w:hideMark/>
          </w:tcPr>
          <w:p w14:paraId="389A1F93" w14:textId="77777777" w:rsidR="009E52E1" w:rsidRPr="00ED0785" w:rsidRDefault="009E52E1" w:rsidP="009E52E1">
            <w:pPr>
              <w:pStyle w:val="TableText"/>
            </w:pPr>
            <w:r w:rsidRPr="00ED0785">
              <w:t>690</w:t>
            </w:r>
          </w:p>
        </w:tc>
        <w:tc>
          <w:tcPr>
            <w:tcW w:w="933" w:type="dxa"/>
            <w:tcBorders>
              <w:right w:val="nil"/>
            </w:tcBorders>
            <w:shd w:val="clear" w:color="auto" w:fill="auto"/>
            <w:noWrap/>
            <w:vAlign w:val="bottom"/>
            <w:hideMark/>
          </w:tcPr>
          <w:p w14:paraId="0BBA27D7" w14:textId="46CD8E24" w:rsidR="009E52E1" w:rsidRPr="00ED0785" w:rsidRDefault="009E52E1" w:rsidP="009E52E1">
            <w:pPr>
              <w:pStyle w:val="TableText"/>
            </w:pPr>
            <w:r w:rsidRPr="00ED0785">
              <w:t>8.9</w:t>
            </w:r>
            <w:r>
              <w:t>%</w:t>
            </w:r>
          </w:p>
        </w:tc>
      </w:tr>
      <w:tr w:rsidR="009E52E1" w:rsidRPr="00ED0785" w14:paraId="520F389E" w14:textId="77777777" w:rsidTr="009E52E1">
        <w:trPr>
          <w:jc w:val="center"/>
        </w:trPr>
        <w:tc>
          <w:tcPr>
            <w:tcW w:w="2222" w:type="dxa"/>
            <w:tcBorders>
              <w:left w:val="nil"/>
            </w:tcBorders>
            <w:shd w:val="clear" w:color="auto" w:fill="auto"/>
            <w:noWrap/>
            <w:vAlign w:val="bottom"/>
            <w:hideMark/>
          </w:tcPr>
          <w:p w14:paraId="6532A24E" w14:textId="77777777" w:rsidR="009E52E1" w:rsidRPr="00ED0785" w:rsidRDefault="009E52E1" w:rsidP="009E52E1">
            <w:pPr>
              <w:pStyle w:val="TableText"/>
            </w:pPr>
            <w:r w:rsidRPr="00ED0785">
              <w:t>Butte County</w:t>
            </w:r>
          </w:p>
        </w:tc>
        <w:tc>
          <w:tcPr>
            <w:tcW w:w="1702" w:type="dxa"/>
            <w:shd w:val="clear" w:color="auto" w:fill="auto"/>
            <w:noWrap/>
            <w:vAlign w:val="bottom"/>
            <w:hideMark/>
          </w:tcPr>
          <w:p w14:paraId="62896A9E" w14:textId="77777777" w:rsidR="009E52E1" w:rsidRPr="00ED0785" w:rsidRDefault="009E52E1" w:rsidP="009E52E1">
            <w:pPr>
              <w:pStyle w:val="TableText"/>
            </w:pPr>
            <w:r w:rsidRPr="00ED0785">
              <w:t>5,900</w:t>
            </w:r>
          </w:p>
        </w:tc>
        <w:tc>
          <w:tcPr>
            <w:tcW w:w="933" w:type="dxa"/>
            <w:tcBorders>
              <w:right w:val="single" w:sz="12" w:space="0" w:color="auto"/>
            </w:tcBorders>
            <w:shd w:val="clear" w:color="auto" w:fill="auto"/>
            <w:noWrap/>
            <w:vAlign w:val="bottom"/>
            <w:hideMark/>
          </w:tcPr>
          <w:p w14:paraId="4CCC18E6" w14:textId="0AFB46CC" w:rsidR="009E52E1" w:rsidRPr="00ED0785" w:rsidRDefault="009E52E1" w:rsidP="009E52E1">
            <w:pPr>
              <w:pStyle w:val="TableText"/>
            </w:pPr>
            <w:r w:rsidRPr="00ED0785">
              <w:t>5.7</w:t>
            </w:r>
            <w:r>
              <w:t>%</w:t>
            </w:r>
          </w:p>
        </w:tc>
        <w:tc>
          <w:tcPr>
            <w:tcW w:w="2472" w:type="dxa"/>
            <w:tcBorders>
              <w:left w:val="single" w:sz="12" w:space="0" w:color="auto"/>
            </w:tcBorders>
            <w:shd w:val="clear" w:color="auto" w:fill="auto"/>
            <w:noWrap/>
            <w:vAlign w:val="bottom"/>
            <w:hideMark/>
          </w:tcPr>
          <w:p w14:paraId="4CE3FFCD" w14:textId="77777777" w:rsidR="009E52E1" w:rsidRPr="00ED0785" w:rsidRDefault="009E52E1" w:rsidP="009E52E1">
            <w:pPr>
              <w:pStyle w:val="TableText"/>
            </w:pPr>
            <w:r w:rsidRPr="00ED0785">
              <w:t>Riverside County</w:t>
            </w:r>
          </w:p>
        </w:tc>
        <w:tc>
          <w:tcPr>
            <w:tcW w:w="1818" w:type="dxa"/>
            <w:shd w:val="clear" w:color="auto" w:fill="auto"/>
            <w:noWrap/>
            <w:vAlign w:val="bottom"/>
            <w:hideMark/>
          </w:tcPr>
          <w:p w14:paraId="61D949EA" w14:textId="77777777" w:rsidR="009E52E1" w:rsidRPr="00ED0785" w:rsidRDefault="009E52E1" w:rsidP="009E52E1">
            <w:pPr>
              <w:pStyle w:val="TableText"/>
            </w:pPr>
            <w:r w:rsidRPr="00ED0785">
              <w:t>56,300</w:t>
            </w:r>
          </w:p>
        </w:tc>
        <w:tc>
          <w:tcPr>
            <w:tcW w:w="933" w:type="dxa"/>
            <w:tcBorders>
              <w:right w:val="nil"/>
            </w:tcBorders>
            <w:shd w:val="clear" w:color="auto" w:fill="auto"/>
            <w:noWrap/>
            <w:vAlign w:val="bottom"/>
            <w:hideMark/>
          </w:tcPr>
          <w:p w14:paraId="67F58C2B" w14:textId="56D2DE0F" w:rsidR="009E52E1" w:rsidRPr="00ED0785" w:rsidRDefault="009E52E1" w:rsidP="009E52E1">
            <w:pPr>
              <w:pStyle w:val="TableText"/>
            </w:pPr>
            <w:r w:rsidRPr="00ED0785">
              <w:t>5.2</w:t>
            </w:r>
            <w:r>
              <w:t>%</w:t>
            </w:r>
          </w:p>
        </w:tc>
      </w:tr>
      <w:tr w:rsidR="009E52E1" w:rsidRPr="00ED0785" w14:paraId="0861837B" w14:textId="77777777" w:rsidTr="009E52E1">
        <w:trPr>
          <w:jc w:val="center"/>
        </w:trPr>
        <w:tc>
          <w:tcPr>
            <w:tcW w:w="2222" w:type="dxa"/>
            <w:tcBorders>
              <w:left w:val="nil"/>
            </w:tcBorders>
            <w:shd w:val="clear" w:color="auto" w:fill="auto"/>
            <w:noWrap/>
            <w:vAlign w:val="bottom"/>
            <w:hideMark/>
          </w:tcPr>
          <w:p w14:paraId="2CFBEDED" w14:textId="77777777" w:rsidR="009E52E1" w:rsidRPr="00ED0785" w:rsidRDefault="009E52E1" w:rsidP="009E52E1">
            <w:pPr>
              <w:pStyle w:val="TableText"/>
            </w:pPr>
            <w:r w:rsidRPr="00ED0785">
              <w:t>Calaveras County</w:t>
            </w:r>
          </w:p>
        </w:tc>
        <w:tc>
          <w:tcPr>
            <w:tcW w:w="1702" w:type="dxa"/>
            <w:shd w:val="clear" w:color="auto" w:fill="auto"/>
            <w:noWrap/>
            <w:vAlign w:val="bottom"/>
            <w:hideMark/>
          </w:tcPr>
          <w:p w14:paraId="57E35F7C" w14:textId="77777777" w:rsidR="009E52E1" w:rsidRPr="00ED0785" w:rsidRDefault="009E52E1" w:rsidP="009E52E1">
            <w:pPr>
              <w:pStyle w:val="TableText"/>
            </w:pPr>
            <w:r w:rsidRPr="00ED0785">
              <w:t>1,000</w:t>
            </w:r>
          </w:p>
        </w:tc>
        <w:tc>
          <w:tcPr>
            <w:tcW w:w="933" w:type="dxa"/>
            <w:tcBorders>
              <w:right w:val="single" w:sz="12" w:space="0" w:color="auto"/>
            </w:tcBorders>
            <w:shd w:val="clear" w:color="auto" w:fill="auto"/>
            <w:noWrap/>
            <w:vAlign w:val="bottom"/>
            <w:hideMark/>
          </w:tcPr>
          <w:p w14:paraId="48D2EF57" w14:textId="64D7B4B5" w:rsidR="009E52E1" w:rsidRPr="00ED0785" w:rsidRDefault="009E52E1" w:rsidP="009E52E1">
            <w:pPr>
              <w:pStyle w:val="TableText"/>
            </w:pPr>
            <w:r w:rsidRPr="00ED0785">
              <w:t>4.7</w:t>
            </w:r>
            <w:r>
              <w:t>%</w:t>
            </w:r>
          </w:p>
        </w:tc>
        <w:tc>
          <w:tcPr>
            <w:tcW w:w="2472" w:type="dxa"/>
            <w:tcBorders>
              <w:left w:val="single" w:sz="12" w:space="0" w:color="auto"/>
            </w:tcBorders>
            <w:shd w:val="clear" w:color="auto" w:fill="auto"/>
            <w:noWrap/>
            <w:vAlign w:val="bottom"/>
            <w:hideMark/>
          </w:tcPr>
          <w:p w14:paraId="5F34A788" w14:textId="77777777" w:rsidR="009E52E1" w:rsidRPr="00ED0785" w:rsidRDefault="009E52E1" w:rsidP="009E52E1">
            <w:pPr>
              <w:pStyle w:val="TableText"/>
            </w:pPr>
            <w:r w:rsidRPr="00ED0785">
              <w:t>Sacramento County</w:t>
            </w:r>
          </w:p>
        </w:tc>
        <w:tc>
          <w:tcPr>
            <w:tcW w:w="1818" w:type="dxa"/>
            <w:shd w:val="clear" w:color="auto" w:fill="auto"/>
            <w:noWrap/>
            <w:vAlign w:val="bottom"/>
            <w:hideMark/>
          </w:tcPr>
          <w:p w14:paraId="020BFED3" w14:textId="77777777" w:rsidR="009E52E1" w:rsidRPr="00ED0785" w:rsidRDefault="009E52E1" w:rsidP="009E52E1">
            <w:pPr>
              <w:pStyle w:val="TableText"/>
            </w:pPr>
            <w:r w:rsidRPr="00ED0785">
              <w:t>32,600</w:t>
            </w:r>
          </w:p>
        </w:tc>
        <w:tc>
          <w:tcPr>
            <w:tcW w:w="933" w:type="dxa"/>
            <w:tcBorders>
              <w:right w:val="nil"/>
            </w:tcBorders>
            <w:shd w:val="clear" w:color="auto" w:fill="auto"/>
            <w:noWrap/>
            <w:vAlign w:val="bottom"/>
            <w:hideMark/>
          </w:tcPr>
          <w:p w14:paraId="213BA624" w14:textId="729DBD43" w:rsidR="009E52E1" w:rsidRPr="00ED0785" w:rsidRDefault="009E52E1" w:rsidP="009E52E1">
            <w:pPr>
              <w:pStyle w:val="TableText"/>
            </w:pPr>
            <w:r w:rsidRPr="00ED0785">
              <w:t>4.6</w:t>
            </w:r>
            <w:r>
              <w:t>%</w:t>
            </w:r>
          </w:p>
        </w:tc>
      </w:tr>
      <w:tr w:rsidR="009E52E1" w:rsidRPr="00ED0785" w14:paraId="651894CA" w14:textId="77777777" w:rsidTr="009E52E1">
        <w:trPr>
          <w:jc w:val="center"/>
        </w:trPr>
        <w:tc>
          <w:tcPr>
            <w:tcW w:w="2222" w:type="dxa"/>
            <w:tcBorders>
              <w:left w:val="nil"/>
            </w:tcBorders>
            <w:shd w:val="clear" w:color="auto" w:fill="auto"/>
            <w:noWrap/>
            <w:vAlign w:val="bottom"/>
            <w:hideMark/>
          </w:tcPr>
          <w:p w14:paraId="1FFDCC58" w14:textId="77777777" w:rsidR="009E52E1" w:rsidRPr="00ED0785" w:rsidRDefault="009E52E1" w:rsidP="009E52E1">
            <w:pPr>
              <w:pStyle w:val="TableText"/>
            </w:pPr>
            <w:r w:rsidRPr="00ED0785">
              <w:t>Colusa County</w:t>
            </w:r>
          </w:p>
        </w:tc>
        <w:tc>
          <w:tcPr>
            <w:tcW w:w="1702" w:type="dxa"/>
            <w:shd w:val="clear" w:color="auto" w:fill="auto"/>
            <w:noWrap/>
            <w:vAlign w:val="bottom"/>
            <w:hideMark/>
          </w:tcPr>
          <w:p w14:paraId="66950A75" w14:textId="77777777" w:rsidR="009E52E1" w:rsidRPr="00ED0785" w:rsidRDefault="009E52E1" w:rsidP="009E52E1">
            <w:pPr>
              <w:pStyle w:val="TableText"/>
            </w:pPr>
            <w:r w:rsidRPr="00ED0785">
              <w:t>1,540</w:t>
            </w:r>
          </w:p>
        </w:tc>
        <w:tc>
          <w:tcPr>
            <w:tcW w:w="933" w:type="dxa"/>
            <w:tcBorders>
              <w:right w:val="single" w:sz="12" w:space="0" w:color="auto"/>
            </w:tcBorders>
            <w:shd w:val="clear" w:color="auto" w:fill="auto"/>
            <w:noWrap/>
            <w:vAlign w:val="bottom"/>
            <w:hideMark/>
          </w:tcPr>
          <w:p w14:paraId="7EBF1712" w14:textId="423C7139" w:rsidR="009E52E1" w:rsidRPr="00ED0785" w:rsidRDefault="009E52E1" w:rsidP="009E52E1">
            <w:pPr>
              <w:pStyle w:val="TableText"/>
            </w:pPr>
            <w:r w:rsidRPr="00ED0785">
              <w:t>14.3</w:t>
            </w:r>
            <w:r>
              <w:t>%</w:t>
            </w:r>
          </w:p>
        </w:tc>
        <w:tc>
          <w:tcPr>
            <w:tcW w:w="2472" w:type="dxa"/>
            <w:tcBorders>
              <w:left w:val="single" w:sz="12" w:space="0" w:color="auto"/>
            </w:tcBorders>
            <w:shd w:val="clear" w:color="auto" w:fill="auto"/>
            <w:noWrap/>
            <w:vAlign w:val="bottom"/>
            <w:hideMark/>
          </w:tcPr>
          <w:p w14:paraId="03E51550" w14:textId="77777777" w:rsidR="009E52E1" w:rsidRPr="00ED0785" w:rsidRDefault="009E52E1" w:rsidP="009E52E1">
            <w:pPr>
              <w:pStyle w:val="TableText"/>
            </w:pPr>
            <w:r w:rsidRPr="00ED0785">
              <w:t>San Benito County</w:t>
            </w:r>
          </w:p>
        </w:tc>
        <w:tc>
          <w:tcPr>
            <w:tcW w:w="1818" w:type="dxa"/>
            <w:shd w:val="clear" w:color="auto" w:fill="auto"/>
            <w:noWrap/>
            <w:vAlign w:val="bottom"/>
            <w:hideMark/>
          </w:tcPr>
          <w:p w14:paraId="066F56A3" w14:textId="77777777" w:rsidR="009E52E1" w:rsidRPr="00ED0785" w:rsidRDefault="009E52E1" w:rsidP="009E52E1">
            <w:pPr>
              <w:pStyle w:val="TableText"/>
            </w:pPr>
            <w:r w:rsidRPr="00ED0785">
              <w:t>1,800</w:t>
            </w:r>
          </w:p>
        </w:tc>
        <w:tc>
          <w:tcPr>
            <w:tcW w:w="933" w:type="dxa"/>
            <w:tcBorders>
              <w:right w:val="nil"/>
            </w:tcBorders>
            <w:shd w:val="clear" w:color="auto" w:fill="auto"/>
            <w:noWrap/>
            <w:vAlign w:val="bottom"/>
            <w:hideMark/>
          </w:tcPr>
          <w:p w14:paraId="785B6402" w14:textId="2872AF0C" w:rsidR="009E52E1" w:rsidRPr="00ED0785" w:rsidRDefault="009E52E1" w:rsidP="009E52E1">
            <w:pPr>
              <w:pStyle w:val="TableText"/>
            </w:pPr>
            <w:r w:rsidRPr="00ED0785">
              <w:t>5.9</w:t>
            </w:r>
            <w:r>
              <w:t>%</w:t>
            </w:r>
          </w:p>
        </w:tc>
      </w:tr>
      <w:tr w:rsidR="009E52E1" w:rsidRPr="00ED0785" w14:paraId="4EC8258A" w14:textId="77777777" w:rsidTr="009E52E1">
        <w:trPr>
          <w:jc w:val="center"/>
        </w:trPr>
        <w:tc>
          <w:tcPr>
            <w:tcW w:w="2222" w:type="dxa"/>
            <w:tcBorders>
              <w:left w:val="nil"/>
            </w:tcBorders>
            <w:shd w:val="clear" w:color="auto" w:fill="auto"/>
            <w:noWrap/>
            <w:vAlign w:val="bottom"/>
            <w:hideMark/>
          </w:tcPr>
          <w:p w14:paraId="7B10F128" w14:textId="77777777" w:rsidR="009E52E1" w:rsidRPr="00ED0785" w:rsidRDefault="009E52E1" w:rsidP="009E52E1">
            <w:pPr>
              <w:pStyle w:val="TableText"/>
            </w:pPr>
            <w:r w:rsidRPr="00ED0785">
              <w:t>Contra Costa County</w:t>
            </w:r>
          </w:p>
        </w:tc>
        <w:tc>
          <w:tcPr>
            <w:tcW w:w="1702" w:type="dxa"/>
            <w:shd w:val="clear" w:color="auto" w:fill="auto"/>
            <w:noWrap/>
            <w:vAlign w:val="bottom"/>
            <w:hideMark/>
          </w:tcPr>
          <w:p w14:paraId="54007B53" w14:textId="77777777" w:rsidR="009E52E1" w:rsidRPr="00ED0785" w:rsidRDefault="009E52E1" w:rsidP="009E52E1">
            <w:pPr>
              <w:pStyle w:val="TableText"/>
            </w:pPr>
            <w:r w:rsidRPr="00ED0785">
              <w:t>21,400</w:t>
            </w:r>
          </w:p>
        </w:tc>
        <w:tc>
          <w:tcPr>
            <w:tcW w:w="933" w:type="dxa"/>
            <w:tcBorders>
              <w:right w:val="single" w:sz="12" w:space="0" w:color="auto"/>
            </w:tcBorders>
            <w:shd w:val="clear" w:color="auto" w:fill="auto"/>
            <w:noWrap/>
            <w:vAlign w:val="bottom"/>
            <w:hideMark/>
          </w:tcPr>
          <w:p w14:paraId="3187F94B" w14:textId="23D08002" w:rsidR="009E52E1" w:rsidRPr="00ED0785" w:rsidRDefault="009E52E1" w:rsidP="009E52E1">
            <w:pPr>
              <w:pStyle w:val="TableText"/>
            </w:pPr>
            <w:r w:rsidRPr="00ED0785">
              <w:t>3.8</w:t>
            </w:r>
            <w:r>
              <w:t>%</w:t>
            </w:r>
          </w:p>
        </w:tc>
        <w:tc>
          <w:tcPr>
            <w:tcW w:w="2472" w:type="dxa"/>
            <w:tcBorders>
              <w:left w:val="single" w:sz="12" w:space="0" w:color="auto"/>
            </w:tcBorders>
            <w:shd w:val="clear" w:color="auto" w:fill="auto"/>
            <w:noWrap/>
            <w:vAlign w:val="bottom"/>
            <w:hideMark/>
          </w:tcPr>
          <w:p w14:paraId="4873796E" w14:textId="77777777" w:rsidR="009E52E1" w:rsidRPr="00ED0785" w:rsidRDefault="009E52E1" w:rsidP="009E52E1">
            <w:pPr>
              <w:pStyle w:val="TableText"/>
            </w:pPr>
            <w:r w:rsidRPr="00ED0785">
              <w:t>San Bernardino County</w:t>
            </w:r>
          </w:p>
        </w:tc>
        <w:tc>
          <w:tcPr>
            <w:tcW w:w="1818" w:type="dxa"/>
            <w:shd w:val="clear" w:color="auto" w:fill="auto"/>
            <w:noWrap/>
            <w:vAlign w:val="bottom"/>
            <w:hideMark/>
          </w:tcPr>
          <w:p w14:paraId="110639DF" w14:textId="77777777" w:rsidR="009E52E1" w:rsidRPr="00ED0785" w:rsidRDefault="009E52E1" w:rsidP="009E52E1">
            <w:pPr>
              <w:pStyle w:val="TableText"/>
            </w:pPr>
            <w:r w:rsidRPr="00ED0785">
              <w:t>46,600</w:t>
            </w:r>
          </w:p>
        </w:tc>
        <w:tc>
          <w:tcPr>
            <w:tcW w:w="933" w:type="dxa"/>
            <w:tcBorders>
              <w:right w:val="nil"/>
            </w:tcBorders>
            <w:shd w:val="clear" w:color="auto" w:fill="auto"/>
            <w:noWrap/>
            <w:vAlign w:val="bottom"/>
            <w:hideMark/>
          </w:tcPr>
          <w:p w14:paraId="36E6C95F" w14:textId="52B23500" w:rsidR="009E52E1" w:rsidRPr="00ED0785" w:rsidRDefault="009E52E1" w:rsidP="009E52E1">
            <w:pPr>
              <w:pStyle w:val="TableText"/>
            </w:pPr>
            <w:r w:rsidRPr="00ED0785">
              <w:t>4.9</w:t>
            </w:r>
            <w:r>
              <w:t>%</w:t>
            </w:r>
          </w:p>
        </w:tc>
      </w:tr>
      <w:tr w:rsidR="009E52E1" w:rsidRPr="00ED0785" w14:paraId="0EBFFDB5" w14:textId="77777777" w:rsidTr="009E52E1">
        <w:trPr>
          <w:jc w:val="center"/>
        </w:trPr>
        <w:tc>
          <w:tcPr>
            <w:tcW w:w="2222" w:type="dxa"/>
            <w:tcBorders>
              <w:left w:val="nil"/>
            </w:tcBorders>
            <w:shd w:val="clear" w:color="auto" w:fill="auto"/>
            <w:noWrap/>
            <w:vAlign w:val="bottom"/>
            <w:hideMark/>
          </w:tcPr>
          <w:p w14:paraId="6F550BC7" w14:textId="77777777" w:rsidR="009E52E1" w:rsidRPr="00ED0785" w:rsidRDefault="009E52E1" w:rsidP="009E52E1">
            <w:pPr>
              <w:pStyle w:val="TableText"/>
            </w:pPr>
            <w:r w:rsidRPr="00ED0785">
              <w:t>Del Norte County</w:t>
            </w:r>
          </w:p>
        </w:tc>
        <w:tc>
          <w:tcPr>
            <w:tcW w:w="1702" w:type="dxa"/>
            <w:shd w:val="clear" w:color="auto" w:fill="auto"/>
            <w:noWrap/>
            <w:vAlign w:val="bottom"/>
            <w:hideMark/>
          </w:tcPr>
          <w:p w14:paraId="2CB1B9AB" w14:textId="77777777" w:rsidR="009E52E1" w:rsidRPr="00ED0785" w:rsidRDefault="009E52E1" w:rsidP="009E52E1">
            <w:pPr>
              <w:pStyle w:val="TableText"/>
            </w:pPr>
            <w:r w:rsidRPr="00ED0785">
              <w:t>630</w:t>
            </w:r>
          </w:p>
        </w:tc>
        <w:tc>
          <w:tcPr>
            <w:tcW w:w="933" w:type="dxa"/>
            <w:tcBorders>
              <w:right w:val="single" w:sz="12" w:space="0" w:color="auto"/>
            </w:tcBorders>
            <w:shd w:val="clear" w:color="auto" w:fill="auto"/>
            <w:noWrap/>
            <w:vAlign w:val="bottom"/>
            <w:hideMark/>
          </w:tcPr>
          <w:p w14:paraId="392CB003" w14:textId="10CBA093" w:rsidR="009E52E1" w:rsidRPr="00ED0785" w:rsidRDefault="009E52E1" w:rsidP="009E52E1">
            <w:pPr>
              <w:pStyle w:val="TableText"/>
            </w:pPr>
            <w:r w:rsidRPr="00ED0785">
              <w:t>6.4</w:t>
            </w:r>
            <w:r>
              <w:t>%</w:t>
            </w:r>
          </w:p>
        </w:tc>
        <w:tc>
          <w:tcPr>
            <w:tcW w:w="2472" w:type="dxa"/>
            <w:tcBorders>
              <w:left w:val="single" w:sz="12" w:space="0" w:color="auto"/>
            </w:tcBorders>
            <w:shd w:val="clear" w:color="auto" w:fill="auto"/>
            <w:noWrap/>
            <w:vAlign w:val="bottom"/>
            <w:hideMark/>
          </w:tcPr>
          <w:p w14:paraId="0269233C" w14:textId="77777777" w:rsidR="009E52E1" w:rsidRPr="00ED0785" w:rsidRDefault="009E52E1" w:rsidP="009E52E1">
            <w:pPr>
              <w:pStyle w:val="TableText"/>
            </w:pPr>
            <w:r w:rsidRPr="00ED0785">
              <w:t>San Diego County</w:t>
            </w:r>
          </w:p>
        </w:tc>
        <w:tc>
          <w:tcPr>
            <w:tcW w:w="1818" w:type="dxa"/>
            <w:shd w:val="clear" w:color="auto" w:fill="auto"/>
            <w:noWrap/>
            <w:vAlign w:val="bottom"/>
            <w:hideMark/>
          </w:tcPr>
          <w:p w14:paraId="1679547F" w14:textId="77777777" w:rsidR="009E52E1" w:rsidRPr="00ED0785" w:rsidRDefault="009E52E1" w:rsidP="009E52E1">
            <w:pPr>
              <w:pStyle w:val="TableText"/>
            </w:pPr>
            <w:r w:rsidRPr="00ED0785">
              <w:t>63,500</w:t>
            </w:r>
          </w:p>
        </w:tc>
        <w:tc>
          <w:tcPr>
            <w:tcW w:w="933" w:type="dxa"/>
            <w:tcBorders>
              <w:right w:val="nil"/>
            </w:tcBorders>
            <w:shd w:val="clear" w:color="auto" w:fill="auto"/>
            <w:noWrap/>
            <w:vAlign w:val="bottom"/>
            <w:hideMark/>
          </w:tcPr>
          <w:p w14:paraId="47AB393F" w14:textId="19A83272" w:rsidR="009E52E1" w:rsidRPr="00ED0785" w:rsidRDefault="009E52E1" w:rsidP="009E52E1">
            <w:pPr>
              <w:pStyle w:val="TableText"/>
            </w:pPr>
            <w:r w:rsidRPr="00ED0785">
              <w:t>4.0</w:t>
            </w:r>
            <w:r>
              <w:t>%</w:t>
            </w:r>
          </w:p>
        </w:tc>
      </w:tr>
      <w:tr w:rsidR="009E52E1" w:rsidRPr="00ED0785" w14:paraId="1C870F6D" w14:textId="77777777" w:rsidTr="009E52E1">
        <w:trPr>
          <w:jc w:val="center"/>
        </w:trPr>
        <w:tc>
          <w:tcPr>
            <w:tcW w:w="2222" w:type="dxa"/>
            <w:tcBorders>
              <w:left w:val="nil"/>
            </w:tcBorders>
            <w:shd w:val="clear" w:color="auto" w:fill="auto"/>
            <w:noWrap/>
            <w:vAlign w:val="bottom"/>
            <w:hideMark/>
          </w:tcPr>
          <w:p w14:paraId="7674B7BB" w14:textId="77777777" w:rsidR="009E52E1" w:rsidRPr="00ED0785" w:rsidRDefault="009E52E1" w:rsidP="009E52E1">
            <w:pPr>
              <w:pStyle w:val="TableText"/>
            </w:pPr>
            <w:r w:rsidRPr="00ED0785">
              <w:lastRenderedPageBreak/>
              <w:t>El Dorado County</w:t>
            </w:r>
          </w:p>
        </w:tc>
        <w:tc>
          <w:tcPr>
            <w:tcW w:w="1702" w:type="dxa"/>
            <w:shd w:val="clear" w:color="auto" w:fill="auto"/>
            <w:noWrap/>
            <w:vAlign w:val="bottom"/>
            <w:hideMark/>
          </w:tcPr>
          <w:p w14:paraId="76B97CDD" w14:textId="77777777" w:rsidR="009E52E1" w:rsidRPr="00ED0785" w:rsidRDefault="009E52E1" w:rsidP="009E52E1">
            <w:pPr>
              <w:pStyle w:val="TableText"/>
            </w:pPr>
            <w:r w:rsidRPr="00ED0785">
              <w:t>3,900</w:t>
            </w:r>
          </w:p>
        </w:tc>
        <w:tc>
          <w:tcPr>
            <w:tcW w:w="933" w:type="dxa"/>
            <w:tcBorders>
              <w:right w:val="single" w:sz="12" w:space="0" w:color="auto"/>
            </w:tcBorders>
            <w:shd w:val="clear" w:color="auto" w:fill="auto"/>
            <w:noWrap/>
            <w:vAlign w:val="bottom"/>
            <w:hideMark/>
          </w:tcPr>
          <w:p w14:paraId="44F814E8" w14:textId="6EDBE4B1" w:rsidR="009E52E1" w:rsidRPr="00ED0785" w:rsidRDefault="009E52E1" w:rsidP="009E52E1">
            <w:pPr>
              <w:pStyle w:val="TableText"/>
            </w:pPr>
            <w:r w:rsidRPr="00ED0785">
              <w:t>4.4</w:t>
            </w:r>
            <w:r>
              <w:t>%</w:t>
            </w:r>
          </w:p>
        </w:tc>
        <w:tc>
          <w:tcPr>
            <w:tcW w:w="2472" w:type="dxa"/>
            <w:tcBorders>
              <w:left w:val="single" w:sz="12" w:space="0" w:color="auto"/>
            </w:tcBorders>
            <w:shd w:val="clear" w:color="auto" w:fill="auto"/>
            <w:noWrap/>
            <w:vAlign w:val="bottom"/>
          </w:tcPr>
          <w:p w14:paraId="7C46F466" w14:textId="608AD7D7" w:rsidR="009E52E1" w:rsidRPr="00ED0785" w:rsidRDefault="009E52E1" w:rsidP="009E52E1">
            <w:pPr>
              <w:pStyle w:val="TableText"/>
            </w:pPr>
            <w:r w:rsidRPr="00ED0785">
              <w:t>San Joaquin County</w:t>
            </w:r>
          </w:p>
        </w:tc>
        <w:tc>
          <w:tcPr>
            <w:tcW w:w="1818" w:type="dxa"/>
            <w:shd w:val="clear" w:color="auto" w:fill="auto"/>
            <w:noWrap/>
            <w:vAlign w:val="bottom"/>
            <w:hideMark/>
          </w:tcPr>
          <w:p w14:paraId="491AF161" w14:textId="498735A3" w:rsidR="009E52E1" w:rsidRPr="00ED0785" w:rsidRDefault="009E52E1" w:rsidP="009E52E1">
            <w:pPr>
              <w:pStyle w:val="TableText"/>
            </w:pPr>
            <w:r w:rsidRPr="00ED0785">
              <w:t>2,260</w:t>
            </w:r>
          </w:p>
        </w:tc>
        <w:tc>
          <w:tcPr>
            <w:tcW w:w="933" w:type="dxa"/>
            <w:tcBorders>
              <w:right w:val="nil"/>
            </w:tcBorders>
            <w:shd w:val="clear" w:color="auto" w:fill="auto"/>
            <w:noWrap/>
            <w:vAlign w:val="bottom"/>
            <w:hideMark/>
          </w:tcPr>
          <w:p w14:paraId="29AAE7B0" w14:textId="63218295" w:rsidR="009E52E1" w:rsidRPr="00ED0785" w:rsidRDefault="009E52E1" w:rsidP="009E52E1">
            <w:pPr>
              <w:pStyle w:val="TableText"/>
            </w:pPr>
            <w:r w:rsidRPr="00ED0785">
              <w:t>7.0</w:t>
            </w:r>
            <w:r>
              <w:t>%</w:t>
            </w:r>
          </w:p>
        </w:tc>
      </w:tr>
      <w:tr w:rsidR="009E52E1" w:rsidRPr="00ED0785" w14:paraId="73F8EB93" w14:textId="77777777" w:rsidTr="009E52E1">
        <w:trPr>
          <w:jc w:val="center"/>
        </w:trPr>
        <w:tc>
          <w:tcPr>
            <w:tcW w:w="2222" w:type="dxa"/>
            <w:tcBorders>
              <w:left w:val="nil"/>
            </w:tcBorders>
            <w:shd w:val="clear" w:color="auto" w:fill="auto"/>
            <w:noWrap/>
            <w:vAlign w:val="bottom"/>
            <w:hideMark/>
          </w:tcPr>
          <w:p w14:paraId="04677CD4" w14:textId="77777777" w:rsidR="009E52E1" w:rsidRPr="00ED0785" w:rsidRDefault="009E52E1" w:rsidP="009E52E1">
            <w:pPr>
              <w:pStyle w:val="TableText"/>
            </w:pPr>
            <w:r w:rsidRPr="00ED0785">
              <w:t>Fresno County</w:t>
            </w:r>
          </w:p>
        </w:tc>
        <w:tc>
          <w:tcPr>
            <w:tcW w:w="1702" w:type="dxa"/>
            <w:shd w:val="clear" w:color="auto" w:fill="auto"/>
            <w:noWrap/>
            <w:vAlign w:val="bottom"/>
            <w:hideMark/>
          </w:tcPr>
          <w:p w14:paraId="112C7549" w14:textId="77777777" w:rsidR="009E52E1" w:rsidRPr="00ED0785" w:rsidRDefault="009E52E1" w:rsidP="009E52E1">
            <w:pPr>
              <w:pStyle w:val="TableText"/>
            </w:pPr>
            <w:r w:rsidRPr="00ED0785">
              <w:t>38,100</w:t>
            </w:r>
          </w:p>
        </w:tc>
        <w:tc>
          <w:tcPr>
            <w:tcW w:w="933" w:type="dxa"/>
            <w:tcBorders>
              <w:right w:val="single" w:sz="12" w:space="0" w:color="auto"/>
            </w:tcBorders>
            <w:shd w:val="clear" w:color="auto" w:fill="auto"/>
            <w:noWrap/>
            <w:vAlign w:val="bottom"/>
            <w:hideMark/>
          </w:tcPr>
          <w:p w14:paraId="719C21B2" w14:textId="04E14A79" w:rsidR="009E52E1" w:rsidRPr="00ED0785" w:rsidRDefault="009E52E1" w:rsidP="009E52E1">
            <w:pPr>
              <w:pStyle w:val="TableText"/>
            </w:pPr>
            <w:r w:rsidRPr="00ED0785">
              <w:t>8.5</w:t>
            </w:r>
            <w:r>
              <w:t>%</w:t>
            </w:r>
          </w:p>
        </w:tc>
        <w:tc>
          <w:tcPr>
            <w:tcW w:w="2472" w:type="dxa"/>
            <w:tcBorders>
              <w:left w:val="single" w:sz="12" w:space="0" w:color="auto"/>
            </w:tcBorders>
            <w:shd w:val="clear" w:color="auto" w:fill="auto"/>
            <w:noWrap/>
            <w:vAlign w:val="bottom"/>
          </w:tcPr>
          <w:p w14:paraId="0DC5A201" w14:textId="179B7C34" w:rsidR="009E52E1" w:rsidRPr="00ED0785" w:rsidRDefault="009E52E1" w:rsidP="009E52E1">
            <w:pPr>
              <w:pStyle w:val="TableText"/>
            </w:pPr>
            <w:r w:rsidRPr="00ED0785">
              <w:t>San Luis Obispo County</w:t>
            </w:r>
          </w:p>
        </w:tc>
        <w:tc>
          <w:tcPr>
            <w:tcW w:w="1818" w:type="dxa"/>
            <w:shd w:val="clear" w:color="auto" w:fill="auto"/>
            <w:noWrap/>
            <w:vAlign w:val="bottom"/>
          </w:tcPr>
          <w:p w14:paraId="71E4A90C" w14:textId="42F883D9" w:rsidR="009E52E1" w:rsidRPr="00ED0785" w:rsidRDefault="009E52E1" w:rsidP="009E52E1">
            <w:pPr>
              <w:pStyle w:val="TableText"/>
            </w:pPr>
            <w:r w:rsidRPr="00ED0785">
              <w:t>5,100</w:t>
            </w:r>
          </w:p>
        </w:tc>
        <w:tc>
          <w:tcPr>
            <w:tcW w:w="933" w:type="dxa"/>
            <w:tcBorders>
              <w:right w:val="nil"/>
            </w:tcBorders>
            <w:shd w:val="clear" w:color="auto" w:fill="auto"/>
            <w:noWrap/>
            <w:vAlign w:val="bottom"/>
          </w:tcPr>
          <w:p w14:paraId="6C362366" w14:textId="52E6F512" w:rsidR="009E52E1" w:rsidRPr="00ED0785" w:rsidRDefault="009E52E1" w:rsidP="009E52E1">
            <w:pPr>
              <w:pStyle w:val="TableText"/>
            </w:pPr>
            <w:r w:rsidRPr="00ED0785">
              <w:t>3.6</w:t>
            </w:r>
            <w:r>
              <w:t>%</w:t>
            </w:r>
          </w:p>
        </w:tc>
      </w:tr>
      <w:tr w:rsidR="009E52E1" w:rsidRPr="00ED0785" w14:paraId="3E06251B" w14:textId="77777777" w:rsidTr="009E52E1">
        <w:trPr>
          <w:jc w:val="center"/>
        </w:trPr>
        <w:tc>
          <w:tcPr>
            <w:tcW w:w="2222" w:type="dxa"/>
            <w:tcBorders>
              <w:left w:val="nil"/>
            </w:tcBorders>
            <w:shd w:val="clear" w:color="auto" w:fill="auto"/>
            <w:noWrap/>
            <w:vAlign w:val="bottom"/>
            <w:hideMark/>
          </w:tcPr>
          <w:p w14:paraId="2F72596B" w14:textId="77777777" w:rsidR="009E52E1" w:rsidRPr="00ED0785" w:rsidRDefault="009E52E1" w:rsidP="009E52E1">
            <w:pPr>
              <w:pStyle w:val="TableText"/>
            </w:pPr>
            <w:r w:rsidRPr="00ED0785">
              <w:t>Glenn County</w:t>
            </w:r>
          </w:p>
        </w:tc>
        <w:tc>
          <w:tcPr>
            <w:tcW w:w="1702" w:type="dxa"/>
            <w:shd w:val="clear" w:color="auto" w:fill="auto"/>
            <w:noWrap/>
            <w:vAlign w:val="bottom"/>
            <w:hideMark/>
          </w:tcPr>
          <w:p w14:paraId="50DD30D1" w14:textId="77777777" w:rsidR="009E52E1" w:rsidRPr="00ED0785" w:rsidRDefault="009E52E1" w:rsidP="009E52E1">
            <w:pPr>
              <w:pStyle w:val="TableText"/>
            </w:pPr>
            <w:r w:rsidRPr="00ED0785">
              <w:t>960</w:t>
            </w:r>
          </w:p>
        </w:tc>
        <w:tc>
          <w:tcPr>
            <w:tcW w:w="933" w:type="dxa"/>
            <w:tcBorders>
              <w:right w:val="single" w:sz="12" w:space="0" w:color="auto"/>
            </w:tcBorders>
            <w:shd w:val="clear" w:color="auto" w:fill="auto"/>
            <w:noWrap/>
            <w:vAlign w:val="bottom"/>
            <w:hideMark/>
          </w:tcPr>
          <w:p w14:paraId="50A69EB0" w14:textId="264663D3" w:rsidR="009E52E1" w:rsidRPr="00ED0785" w:rsidRDefault="009E52E1" w:rsidP="009E52E1">
            <w:pPr>
              <w:pStyle w:val="TableText"/>
            </w:pPr>
            <w:r w:rsidRPr="00ED0785">
              <w:t>7.5</w:t>
            </w:r>
            <w:r>
              <w:t>%</w:t>
            </w:r>
          </w:p>
        </w:tc>
        <w:tc>
          <w:tcPr>
            <w:tcW w:w="2472" w:type="dxa"/>
            <w:tcBorders>
              <w:left w:val="single" w:sz="12" w:space="0" w:color="auto"/>
            </w:tcBorders>
            <w:shd w:val="clear" w:color="auto" w:fill="auto"/>
            <w:noWrap/>
            <w:vAlign w:val="bottom"/>
          </w:tcPr>
          <w:p w14:paraId="23229AD5" w14:textId="01549A32" w:rsidR="009E52E1" w:rsidRPr="00ED0785" w:rsidRDefault="009E52E1" w:rsidP="009E52E1">
            <w:pPr>
              <w:pStyle w:val="TableText"/>
            </w:pPr>
            <w:r w:rsidRPr="00ED0785">
              <w:t>San Mateo County</w:t>
            </w:r>
          </w:p>
        </w:tc>
        <w:tc>
          <w:tcPr>
            <w:tcW w:w="1818" w:type="dxa"/>
            <w:shd w:val="clear" w:color="auto" w:fill="auto"/>
            <w:noWrap/>
            <w:vAlign w:val="bottom"/>
          </w:tcPr>
          <w:p w14:paraId="019AAF81" w14:textId="25AC1DCC" w:rsidR="009E52E1" w:rsidRPr="00ED0785" w:rsidRDefault="009E52E1" w:rsidP="009E52E1">
            <w:pPr>
              <w:pStyle w:val="TableText"/>
            </w:pPr>
            <w:r w:rsidRPr="00ED0785">
              <w:t>12,100</w:t>
            </w:r>
          </w:p>
        </w:tc>
        <w:tc>
          <w:tcPr>
            <w:tcW w:w="933" w:type="dxa"/>
            <w:tcBorders>
              <w:right w:val="nil"/>
            </w:tcBorders>
            <w:shd w:val="clear" w:color="auto" w:fill="auto"/>
            <w:noWrap/>
            <w:vAlign w:val="bottom"/>
          </w:tcPr>
          <w:p w14:paraId="264B9E57" w14:textId="56FFE656" w:rsidR="009E52E1" w:rsidRPr="00ED0785" w:rsidRDefault="009E52E1" w:rsidP="009E52E1">
            <w:pPr>
              <w:pStyle w:val="TableText"/>
            </w:pPr>
            <w:r w:rsidRPr="00ED0785">
              <w:t>2.7</w:t>
            </w:r>
            <w:r>
              <w:t>%</w:t>
            </w:r>
          </w:p>
        </w:tc>
      </w:tr>
      <w:tr w:rsidR="009E52E1" w:rsidRPr="00ED0785" w14:paraId="18901F38" w14:textId="77777777" w:rsidTr="009E52E1">
        <w:trPr>
          <w:jc w:val="center"/>
        </w:trPr>
        <w:tc>
          <w:tcPr>
            <w:tcW w:w="2222" w:type="dxa"/>
            <w:tcBorders>
              <w:left w:val="nil"/>
            </w:tcBorders>
            <w:shd w:val="clear" w:color="auto" w:fill="auto"/>
            <w:noWrap/>
            <w:vAlign w:val="bottom"/>
            <w:hideMark/>
          </w:tcPr>
          <w:p w14:paraId="0CCA5650" w14:textId="77777777" w:rsidR="009E52E1" w:rsidRPr="00ED0785" w:rsidRDefault="009E52E1" w:rsidP="009E52E1">
            <w:pPr>
              <w:pStyle w:val="TableText"/>
            </w:pPr>
            <w:r w:rsidRPr="00ED0785">
              <w:t>Humboldt County</w:t>
            </w:r>
          </w:p>
        </w:tc>
        <w:tc>
          <w:tcPr>
            <w:tcW w:w="1702" w:type="dxa"/>
            <w:shd w:val="clear" w:color="auto" w:fill="auto"/>
            <w:noWrap/>
            <w:vAlign w:val="bottom"/>
            <w:hideMark/>
          </w:tcPr>
          <w:p w14:paraId="495E0099" w14:textId="77777777" w:rsidR="009E52E1" w:rsidRPr="00ED0785" w:rsidRDefault="009E52E1" w:rsidP="009E52E1">
            <w:pPr>
              <w:pStyle w:val="TableText"/>
            </w:pPr>
            <w:r w:rsidRPr="00ED0785">
              <w:t>2,640</w:t>
            </w:r>
          </w:p>
        </w:tc>
        <w:tc>
          <w:tcPr>
            <w:tcW w:w="933" w:type="dxa"/>
            <w:tcBorders>
              <w:right w:val="single" w:sz="12" w:space="0" w:color="auto"/>
            </w:tcBorders>
            <w:shd w:val="clear" w:color="auto" w:fill="auto"/>
            <w:noWrap/>
            <w:vAlign w:val="bottom"/>
            <w:hideMark/>
          </w:tcPr>
          <w:p w14:paraId="3649B6A3" w14:textId="757050B1" w:rsidR="009E52E1" w:rsidRPr="00ED0785" w:rsidRDefault="009E52E1" w:rsidP="009E52E1">
            <w:pPr>
              <w:pStyle w:val="TableText"/>
            </w:pPr>
            <w:r w:rsidRPr="00ED0785">
              <w:t>4.2</w:t>
            </w:r>
            <w:r>
              <w:t>%</w:t>
            </w:r>
          </w:p>
        </w:tc>
        <w:tc>
          <w:tcPr>
            <w:tcW w:w="2472" w:type="dxa"/>
            <w:tcBorders>
              <w:left w:val="single" w:sz="12" w:space="0" w:color="auto"/>
            </w:tcBorders>
            <w:shd w:val="clear" w:color="auto" w:fill="auto"/>
            <w:noWrap/>
            <w:vAlign w:val="bottom"/>
          </w:tcPr>
          <w:p w14:paraId="44F068E0" w14:textId="323464AC" w:rsidR="009E52E1" w:rsidRPr="00ED0785" w:rsidRDefault="009E52E1" w:rsidP="009E52E1">
            <w:pPr>
              <w:pStyle w:val="TableText"/>
            </w:pPr>
            <w:r w:rsidRPr="00ED0785">
              <w:t>Santa Barbara County</w:t>
            </w:r>
          </w:p>
        </w:tc>
        <w:tc>
          <w:tcPr>
            <w:tcW w:w="1818" w:type="dxa"/>
            <w:shd w:val="clear" w:color="auto" w:fill="auto"/>
            <w:noWrap/>
            <w:vAlign w:val="bottom"/>
          </w:tcPr>
          <w:p w14:paraId="55F43529" w14:textId="1F06DA2D" w:rsidR="009E52E1" w:rsidRPr="00ED0785" w:rsidRDefault="009E52E1" w:rsidP="009E52E1">
            <w:pPr>
              <w:pStyle w:val="TableText"/>
            </w:pPr>
            <w:r w:rsidRPr="00ED0785">
              <w:t>9,700</w:t>
            </w:r>
          </w:p>
        </w:tc>
        <w:tc>
          <w:tcPr>
            <w:tcW w:w="933" w:type="dxa"/>
            <w:tcBorders>
              <w:right w:val="nil"/>
            </w:tcBorders>
            <w:shd w:val="clear" w:color="auto" w:fill="auto"/>
            <w:noWrap/>
            <w:vAlign w:val="bottom"/>
          </w:tcPr>
          <w:p w14:paraId="14A8534B" w14:textId="64ECB2F5" w:rsidR="009E52E1" w:rsidRPr="00ED0785" w:rsidRDefault="009E52E1" w:rsidP="009E52E1">
            <w:pPr>
              <w:pStyle w:val="TableText"/>
            </w:pPr>
            <w:r w:rsidRPr="00ED0785">
              <w:t>4.5</w:t>
            </w:r>
            <w:r>
              <w:t>%</w:t>
            </w:r>
          </w:p>
        </w:tc>
      </w:tr>
      <w:tr w:rsidR="009E52E1" w:rsidRPr="00ED0785" w14:paraId="2B549A43" w14:textId="77777777" w:rsidTr="009E52E1">
        <w:trPr>
          <w:jc w:val="center"/>
        </w:trPr>
        <w:tc>
          <w:tcPr>
            <w:tcW w:w="2222" w:type="dxa"/>
            <w:tcBorders>
              <w:left w:val="nil"/>
            </w:tcBorders>
            <w:shd w:val="clear" w:color="auto" w:fill="auto"/>
            <w:noWrap/>
            <w:vAlign w:val="bottom"/>
            <w:hideMark/>
          </w:tcPr>
          <w:p w14:paraId="6C0A58F2" w14:textId="77777777" w:rsidR="009E52E1" w:rsidRPr="00ED0785" w:rsidRDefault="009E52E1" w:rsidP="009E52E1">
            <w:pPr>
              <w:pStyle w:val="TableText"/>
            </w:pPr>
            <w:r w:rsidRPr="00ED0785">
              <w:t>Imperial County</w:t>
            </w:r>
          </w:p>
        </w:tc>
        <w:tc>
          <w:tcPr>
            <w:tcW w:w="1702" w:type="dxa"/>
            <w:shd w:val="clear" w:color="auto" w:fill="auto"/>
            <w:noWrap/>
            <w:vAlign w:val="bottom"/>
            <w:hideMark/>
          </w:tcPr>
          <w:p w14:paraId="64031F31" w14:textId="77777777" w:rsidR="009E52E1" w:rsidRPr="00ED0785" w:rsidRDefault="009E52E1" w:rsidP="009E52E1">
            <w:pPr>
              <w:pStyle w:val="TableText"/>
            </w:pPr>
            <w:r w:rsidRPr="00ED0785">
              <w:t>14,100</w:t>
            </w:r>
          </w:p>
        </w:tc>
        <w:tc>
          <w:tcPr>
            <w:tcW w:w="933" w:type="dxa"/>
            <w:tcBorders>
              <w:right w:val="single" w:sz="12" w:space="0" w:color="auto"/>
            </w:tcBorders>
            <w:shd w:val="clear" w:color="auto" w:fill="auto"/>
            <w:noWrap/>
            <w:vAlign w:val="bottom"/>
            <w:hideMark/>
          </w:tcPr>
          <w:p w14:paraId="66D08E90" w14:textId="70D49B98" w:rsidR="009E52E1" w:rsidRPr="00ED0785" w:rsidRDefault="009E52E1" w:rsidP="009E52E1">
            <w:pPr>
              <w:pStyle w:val="TableText"/>
            </w:pPr>
            <w:r w:rsidRPr="00ED0785">
              <w:t>19.1</w:t>
            </w:r>
            <w:r>
              <w:t>%</w:t>
            </w:r>
          </w:p>
        </w:tc>
        <w:tc>
          <w:tcPr>
            <w:tcW w:w="2472" w:type="dxa"/>
            <w:tcBorders>
              <w:left w:val="single" w:sz="12" w:space="0" w:color="auto"/>
            </w:tcBorders>
            <w:shd w:val="clear" w:color="auto" w:fill="auto"/>
            <w:noWrap/>
            <w:vAlign w:val="bottom"/>
          </w:tcPr>
          <w:p w14:paraId="69FA1C80" w14:textId="679A4D33" w:rsidR="009E52E1" w:rsidRPr="00ED0785" w:rsidRDefault="009E52E1" w:rsidP="009E52E1">
            <w:pPr>
              <w:pStyle w:val="TableText"/>
            </w:pPr>
            <w:r w:rsidRPr="00ED0785">
              <w:t>Santa Clara County</w:t>
            </w:r>
          </w:p>
        </w:tc>
        <w:tc>
          <w:tcPr>
            <w:tcW w:w="1818" w:type="dxa"/>
            <w:shd w:val="clear" w:color="auto" w:fill="auto"/>
            <w:noWrap/>
            <w:vAlign w:val="bottom"/>
          </w:tcPr>
          <w:p w14:paraId="3B2453CF" w14:textId="25908275" w:rsidR="009E52E1" w:rsidRPr="00ED0785" w:rsidRDefault="009E52E1" w:rsidP="009E52E1">
            <w:pPr>
              <w:pStyle w:val="TableText"/>
            </w:pPr>
            <w:r w:rsidRPr="00ED0785">
              <w:t>33,400</w:t>
            </w:r>
          </w:p>
        </w:tc>
        <w:tc>
          <w:tcPr>
            <w:tcW w:w="933" w:type="dxa"/>
            <w:tcBorders>
              <w:right w:val="nil"/>
            </w:tcBorders>
            <w:shd w:val="clear" w:color="auto" w:fill="auto"/>
            <w:noWrap/>
            <w:vAlign w:val="bottom"/>
          </w:tcPr>
          <w:p w14:paraId="7BB008F5" w14:textId="33E98FAE" w:rsidR="009E52E1" w:rsidRPr="00ED0785" w:rsidRDefault="009E52E1" w:rsidP="009E52E1">
            <w:pPr>
              <w:pStyle w:val="TableText"/>
            </w:pPr>
            <w:r w:rsidRPr="00ED0785">
              <w:t>3.2</w:t>
            </w:r>
            <w:r>
              <w:t>%</w:t>
            </w:r>
          </w:p>
        </w:tc>
      </w:tr>
      <w:tr w:rsidR="009E52E1" w:rsidRPr="00ED0785" w14:paraId="3D8CC2FC" w14:textId="77777777" w:rsidTr="009E52E1">
        <w:trPr>
          <w:jc w:val="center"/>
        </w:trPr>
        <w:tc>
          <w:tcPr>
            <w:tcW w:w="2222" w:type="dxa"/>
            <w:tcBorders>
              <w:left w:val="nil"/>
            </w:tcBorders>
            <w:shd w:val="clear" w:color="auto" w:fill="auto"/>
            <w:noWrap/>
            <w:vAlign w:val="bottom"/>
            <w:hideMark/>
          </w:tcPr>
          <w:p w14:paraId="67AECE89" w14:textId="77777777" w:rsidR="009E52E1" w:rsidRPr="00ED0785" w:rsidRDefault="009E52E1" w:rsidP="009E52E1">
            <w:pPr>
              <w:pStyle w:val="TableText"/>
            </w:pPr>
            <w:r w:rsidRPr="00ED0785">
              <w:t>Inyo County</w:t>
            </w:r>
          </w:p>
        </w:tc>
        <w:tc>
          <w:tcPr>
            <w:tcW w:w="1702" w:type="dxa"/>
            <w:shd w:val="clear" w:color="auto" w:fill="auto"/>
            <w:noWrap/>
            <w:vAlign w:val="bottom"/>
            <w:hideMark/>
          </w:tcPr>
          <w:p w14:paraId="38364193" w14:textId="77777777" w:rsidR="009E52E1" w:rsidRPr="00ED0785" w:rsidRDefault="009E52E1" w:rsidP="009E52E1">
            <w:pPr>
              <w:pStyle w:val="TableText"/>
            </w:pPr>
            <w:r w:rsidRPr="00ED0785">
              <w:t>380</w:t>
            </w:r>
          </w:p>
        </w:tc>
        <w:tc>
          <w:tcPr>
            <w:tcW w:w="933" w:type="dxa"/>
            <w:tcBorders>
              <w:right w:val="single" w:sz="12" w:space="0" w:color="auto"/>
            </w:tcBorders>
            <w:shd w:val="clear" w:color="auto" w:fill="auto"/>
            <w:noWrap/>
            <w:vAlign w:val="bottom"/>
            <w:hideMark/>
          </w:tcPr>
          <w:p w14:paraId="147E7C25" w14:textId="27621BD1" w:rsidR="009E52E1" w:rsidRPr="00ED0785" w:rsidRDefault="009E52E1" w:rsidP="009E52E1">
            <w:pPr>
              <w:pStyle w:val="TableText"/>
            </w:pPr>
            <w:r w:rsidRPr="00ED0785">
              <w:t>4.4</w:t>
            </w:r>
            <w:r>
              <w:t>%</w:t>
            </w:r>
          </w:p>
        </w:tc>
        <w:tc>
          <w:tcPr>
            <w:tcW w:w="2472" w:type="dxa"/>
            <w:tcBorders>
              <w:left w:val="single" w:sz="12" w:space="0" w:color="auto"/>
            </w:tcBorders>
            <w:shd w:val="clear" w:color="auto" w:fill="auto"/>
            <w:noWrap/>
            <w:vAlign w:val="bottom"/>
          </w:tcPr>
          <w:p w14:paraId="536D65D1" w14:textId="2239E380" w:rsidR="009E52E1" w:rsidRPr="00ED0785" w:rsidRDefault="009E52E1" w:rsidP="009E52E1">
            <w:pPr>
              <w:pStyle w:val="TableText"/>
            </w:pPr>
            <w:r w:rsidRPr="00ED0785">
              <w:t>Santa Cruz County</w:t>
            </w:r>
          </w:p>
        </w:tc>
        <w:tc>
          <w:tcPr>
            <w:tcW w:w="1818" w:type="dxa"/>
            <w:shd w:val="clear" w:color="auto" w:fill="auto"/>
            <w:noWrap/>
            <w:vAlign w:val="bottom"/>
          </w:tcPr>
          <w:p w14:paraId="26E7DC9E" w14:textId="21D95E73" w:rsidR="009E52E1" w:rsidRPr="00ED0785" w:rsidRDefault="009E52E1" w:rsidP="009E52E1">
            <w:pPr>
              <w:pStyle w:val="TableText"/>
            </w:pPr>
            <w:r w:rsidRPr="00ED0785">
              <w:t>8,200</w:t>
            </w:r>
          </w:p>
        </w:tc>
        <w:tc>
          <w:tcPr>
            <w:tcW w:w="933" w:type="dxa"/>
            <w:tcBorders>
              <w:right w:val="nil"/>
            </w:tcBorders>
            <w:shd w:val="clear" w:color="auto" w:fill="auto"/>
            <w:noWrap/>
            <w:vAlign w:val="bottom"/>
          </w:tcPr>
          <w:p w14:paraId="28075D23" w14:textId="2B09170E" w:rsidR="009E52E1" w:rsidRPr="00ED0785" w:rsidRDefault="009E52E1" w:rsidP="009E52E1">
            <w:pPr>
              <w:pStyle w:val="TableText"/>
            </w:pPr>
            <w:r w:rsidRPr="00ED0785">
              <w:t>5.7</w:t>
            </w:r>
            <w:r>
              <w:t>%</w:t>
            </w:r>
          </w:p>
        </w:tc>
      </w:tr>
      <w:tr w:rsidR="009E52E1" w:rsidRPr="00ED0785" w14:paraId="441DE76E" w14:textId="77777777" w:rsidTr="009E52E1">
        <w:trPr>
          <w:jc w:val="center"/>
        </w:trPr>
        <w:tc>
          <w:tcPr>
            <w:tcW w:w="2222" w:type="dxa"/>
            <w:tcBorders>
              <w:left w:val="nil"/>
            </w:tcBorders>
            <w:shd w:val="clear" w:color="auto" w:fill="auto"/>
            <w:noWrap/>
            <w:vAlign w:val="bottom"/>
            <w:hideMark/>
          </w:tcPr>
          <w:p w14:paraId="5C210B05" w14:textId="77777777" w:rsidR="009E52E1" w:rsidRPr="00ED0785" w:rsidRDefault="009E52E1" w:rsidP="009E52E1">
            <w:pPr>
              <w:pStyle w:val="TableText"/>
            </w:pPr>
            <w:r w:rsidRPr="00ED0785">
              <w:t>Kern County</w:t>
            </w:r>
          </w:p>
        </w:tc>
        <w:tc>
          <w:tcPr>
            <w:tcW w:w="1702" w:type="dxa"/>
            <w:shd w:val="clear" w:color="auto" w:fill="auto"/>
            <w:noWrap/>
            <w:vAlign w:val="bottom"/>
            <w:hideMark/>
          </w:tcPr>
          <w:p w14:paraId="7AB0B7F9" w14:textId="77777777" w:rsidR="009E52E1" w:rsidRPr="00ED0785" w:rsidRDefault="009E52E1" w:rsidP="009E52E1">
            <w:pPr>
              <w:pStyle w:val="TableText"/>
            </w:pPr>
            <w:r w:rsidRPr="00ED0785">
              <w:t>35,400</w:t>
            </w:r>
          </w:p>
        </w:tc>
        <w:tc>
          <w:tcPr>
            <w:tcW w:w="933" w:type="dxa"/>
            <w:tcBorders>
              <w:right w:val="single" w:sz="12" w:space="0" w:color="auto"/>
            </w:tcBorders>
            <w:shd w:val="clear" w:color="auto" w:fill="auto"/>
            <w:noWrap/>
            <w:vAlign w:val="bottom"/>
            <w:hideMark/>
          </w:tcPr>
          <w:p w14:paraId="688EC0A5" w14:textId="79D1F5AB" w:rsidR="009E52E1" w:rsidRPr="00ED0785" w:rsidRDefault="009E52E1" w:rsidP="009E52E1">
            <w:pPr>
              <w:pStyle w:val="TableText"/>
            </w:pPr>
            <w:r w:rsidRPr="00ED0785">
              <w:t>9.2</w:t>
            </w:r>
            <w:r>
              <w:t>%</w:t>
            </w:r>
          </w:p>
        </w:tc>
        <w:tc>
          <w:tcPr>
            <w:tcW w:w="2472" w:type="dxa"/>
            <w:tcBorders>
              <w:left w:val="single" w:sz="12" w:space="0" w:color="auto"/>
            </w:tcBorders>
            <w:shd w:val="clear" w:color="auto" w:fill="auto"/>
            <w:noWrap/>
            <w:vAlign w:val="bottom"/>
          </w:tcPr>
          <w:p w14:paraId="47815714" w14:textId="16C62D2F" w:rsidR="009E52E1" w:rsidRPr="00ED0785" w:rsidRDefault="009E52E1" w:rsidP="009E52E1">
            <w:pPr>
              <w:pStyle w:val="TableText"/>
            </w:pPr>
            <w:r w:rsidRPr="00ED0785">
              <w:t>Shasta County</w:t>
            </w:r>
          </w:p>
        </w:tc>
        <w:tc>
          <w:tcPr>
            <w:tcW w:w="1818" w:type="dxa"/>
            <w:shd w:val="clear" w:color="auto" w:fill="auto"/>
            <w:noWrap/>
            <w:vAlign w:val="bottom"/>
          </w:tcPr>
          <w:p w14:paraId="47F66BA3" w14:textId="4BC02749" w:rsidR="009E52E1" w:rsidRPr="00ED0785" w:rsidRDefault="009E52E1" w:rsidP="009E52E1">
            <w:pPr>
              <w:pStyle w:val="TableText"/>
            </w:pPr>
            <w:r w:rsidRPr="00ED0785">
              <w:t>4,300</w:t>
            </w:r>
          </w:p>
        </w:tc>
        <w:tc>
          <w:tcPr>
            <w:tcW w:w="933" w:type="dxa"/>
            <w:tcBorders>
              <w:right w:val="nil"/>
            </w:tcBorders>
            <w:shd w:val="clear" w:color="auto" w:fill="auto"/>
            <w:noWrap/>
            <w:vAlign w:val="bottom"/>
          </w:tcPr>
          <w:p w14:paraId="538C3018" w14:textId="25AFF2BD" w:rsidR="009E52E1" w:rsidRPr="00ED0785" w:rsidRDefault="009E52E1" w:rsidP="009E52E1">
            <w:pPr>
              <w:pStyle w:val="TableText"/>
            </w:pPr>
            <w:r w:rsidRPr="00ED0785">
              <w:t>5.8</w:t>
            </w:r>
            <w:r>
              <w:t>%</w:t>
            </w:r>
          </w:p>
        </w:tc>
      </w:tr>
      <w:tr w:rsidR="009E52E1" w:rsidRPr="00ED0785" w14:paraId="66CBAC02" w14:textId="77777777" w:rsidTr="009E52E1">
        <w:trPr>
          <w:jc w:val="center"/>
        </w:trPr>
        <w:tc>
          <w:tcPr>
            <w:tcW w:w="2222" w:type="dxa"/>
            <w:tcBorders>
              <w:left w:val="nil"/>
            </w:tcBorders>
            <w:shd w:val="clear" w:color="auto" w:fill="auto"/>
            <w:noWrap/>
            <w:vAlign w:val="bottom"/>
            <w:hideMark/>
          </w:tcPr>
          <w:p w14:paraId="4A443137" w14:textId="77777777" w:rsidR="009E52E1" w:rsidRPr="00ED0785" w:rsidRDefault="009E52E1" w:rsidP="009E52E1">
            <w:pPr>
              <w:pStyle w:val="TableText"/>
            </w:pPr>
            <w:r w:rsidRPr="00ED0785">
              <w:t>Kings County</w:t>
            </w:r>
          </w:p>
        </w:tc>
        <w:tc>
          <w:tcPr>
            <w:tcW w:w="1702" w:type="dxa"/>
            <w:shd w:val="clear" w:color="auto" w:fill="auto"/>
            <w:noWrap/>
            <w:vAlign w:val="bottom"/>
            <w:hideMark/>
          </w:tcPr>
          <w:p w14:paraId="3520E50C" w14:textId="77777777" w:rsidR="009E52E1" w:rsidRPr="00ED0785" w:rsidRDefault="009E52E1" w:rsidP="009E52E1">
            <w:pPr>
              <w:pStyle w:val="TableText"/>
            </w:pPr>
            <w:r w:rsidRPr="00ED0785">
              <w:t>5,100</w:t>
            </w:r>
          </w:p>
        </w:tc>
        <w:tc>
          <w:tcPr>
            <w:tcW w:w="933" w:type="dxa"/>
            <w:tcBorders>
              <w:right w:val="single" w:sz="12" w:space="0" w:color="auto"/>
            </w:tcBorders>
            <w:shd w:val="clear" w:color="auto" w:fill="auto"/>
            <w:noWrap/>
            <w:vAlign w:val="bottom"/>
            <w:hideMark/>
          </w:tcPr>
          <w:p w14:paraId="49FFBD93" w14:textId="06CA8BAC" w:rsidR="009E52E1" w:rsidRPr="00ED0785" w:rsidRDefault="009E52E1" w:rsidP="009E52E1">
            <w:pPr>
              <w:pStyle w:val="TableText"/>
            </w:pPr>
            <w:r w:rsidRPr="00ED0785">
              <w:t>8.9</w:t>
            </w:r>
            <w:r>
              <w:t>%</w:t>
            </w:r>
          </w:p>
        </w:tc>
        <w:tc>
          <w:tcPr>
            <w:tcW w:w="2472" w:type="dxa"/>
            <w:tcBorders>
              <w:left w:val="single" w:sz="12" w:space="0" w:color="auto"/>
            </w:tcBorders>
            <w:shd w:val="clear" w:color="auto" w:fill="auto"/>
            <w:noWrap/>
            <w:vAlign w:val="bottom"/>
          </w:tcPr>
          <w:p w14:paraId="73187D6D" w14:textId="6A00009E" w:rsidR="009E52E1" w:rsidRPr="00ED0785" w:rsidRDefault="009E52E1" w:rsidP="009E52E1">
            <w:pPr>
              <w:pStyle w:val="TableText"/>
            </w:pPr>
            <w:r w:rsidRPr="00ED0785">
              <w:t>Sierra County</w:t>
            </w:r>
          </w:p>
        </w:tc>
        <w:tc>
          <w:tcPr>
            <w:tcW w:w="1818" w:type="dxa"/>
            <w:shd w:val="clear" w:color="auto" w:fill="auto"/>
            <w:noWrap/>
            <w:vAlign w:val="bottom"/>
          </w:tcPr>
          <w:p w14:paraId="0D90B450" w14:textId="1D24A3F0" w:rsidR="009E52E1" w:rsidRPr="00ED0785" w:rsidRDefault="009E52E1" w:rsidP="009E52E1">
            <w:pPr>
              <w:pStyle w:val="TableText"/>
            </w:pPr>
            <w:r w:rsidRPr="00ED0785">
              <w:t>80</w:t>
            </w:r>
          </w:p>
        </w:tc>
        <w:tc>
          <w:tcPr>
            <w:tcW w:w="933" w:type="dxa"/>
            <w:tcBorders>
              <w:right w:val="nil"/>
            </w:tcBorders>
            <w:shd w:val="clear" w:color="auto" w:fill="auto"/>
            <w:noWrap/>
            <w:vAlign w:val="bottom"/>
          </w:tcPr>
          <w:p w14:paraId="03622254" w14:textId="21B1EF4D" w:rsidR="009E52E1" w:rsidRPr="00ED0785" w:rsidRDefault="009E52E1" w:rsidP="009E52E1">
            <w:pPr>
              <w:pStyle w:val="TableText"/>
            </w:pPr>
            <w:r w:rsidRPr="00ED0785">
              <w:t>6.5</w:t>
            </w:r>
            <w:r>
              <w:t>%</w:t>
            </w:r>
          </w:p>
        </w:tc>
      </w:tr>
      <w:tr w:rsidR="009E52E1" w:rsidRPr="00ED0785" w14:paraId="2CCD4A04" w14:textId="77777777" w:rsidTr="009E52E1">
        <w:trPr>
          <w:jc w:val="center"/>
        </w:trPr>
        <w:tc>
          <w:tcPr>
            <w:tcW w:w="2222" w:type="dxa"/>
            <w:tcBorders>
              <w:left w:val="nil"/>
            </w:tcBorders>
            <w:shd w:val="clear" w:color="auto" w:fill="auto"/>
            <w:noWrap/>
            <w:vAlign w:val="bottom"/>
            <w:hideMark/>
          </w:tcPr>
          <w:p w14:paraId="2E92AB1C" w14:textId="77777777" w:rsidR="009E52E1" w:rsidRPr="00ED0785" w:rsidRDefault="009E52E1" w:rsidP="009E52E1">
            <w:pPr>
              <w:pStyle w:val="TableText"/>
            </w:pPr>
            <w:r w:rsidRPr="00ED0785">
              <w:t>Lake County</w:t>
            </w:r>
          </w:p>
        </w:tc>
        <w:tc>
          <w:tcPr>
            <w:tcW w:w="1702" w:type="dxa"/>
            <w:shd w:val="clear" w:color="auto" w:fill="auto"/>
            <w:noWrap/>
            <w:vAlign w:val="bottom"/>
            <w:hideMark/>
          </w:tcPr>
          <w:p w14:paraId="4BBB179B" w14:textId="77777777" w:rsidR="009E52E1" w:rsidRPr="00ED0785" w:rsidRDefault="009E52E1" w:rsidP="009E52E1">
            <w:pPr>
              <w:pStyle w:val="TableText"/>
            </w:pPr>
            <w:r w:rsidRPr="00ED0785">
              <w:t>1,710</w:t>
            </w:r>
          </w:p>
        </w:tc>
        <w:tc>
          <w:tcPr>
            <w:tcW w:w="933" w:type="dxa"/>
            <w:tcBorders>
              <w:right w:val="single" w:sz="12" w:space="0" w:color="auto"/>
            </w:tcBorders>
            <w:shd w:val="clear" w:color="auto" w:fill="auto"/>
            <w:noWrap/>
            <w:vAlign w:val="bottom"/>
            <w:hideMark/>
          </w:tcPr>
          <w:p w14:paraId="63856541" w14:textId="235D045A" w:rsidR="009E52E1" w:rsidRPr="00ED0785" w:rsidRDefault="009E52E1" w:rsidP="009E52E1">
            <w:pPr>
              <w:pStyle w:val="TableText"/>
            </w:pPr>
            <w:r w:rsidRPr="00ED0785">
              <w:t>5.7</w:t>
            </w:r>
            <w:r>
              <w:t>%</w:t>
            </w:r>
          </w:p>
        </w:tc>
        <w:tc>
          <w:tcPr>
            <w:tcW w:w="2472" w:type="dxa"/>
            <w:tcBorders>
              <w:left w:val="single" w:sz="12" w:space="0" w:color="auto"/>
            </w:tcBorders>
            <w:shd w:val="clear" w:color="auto" w:fill="auto"/>
            <w:noWrap/>
            <w:vAlign w:val="bottom"/>
          </w:tcPr>
          <w:p w14:paraId="0F8A678D" w14:textId="423630E4" w:rsidR="009E52E1" w:rsidRPr="00ED0785" w:rsidRDefault="009E52E1" w:rsidP="009E52E1">
            <w:pPr>
              <w:pStyle w:val="TableText"/>
            </w:pPr>
            <w:r w:rsidRPr="00ED0785">
              <w:t>Siskiyou County</w:t>
            </w:r>
          </w:p>
        </w:tc>
        <w:tc>
          <w:tcPr>
            <w:tcW w:w="1818" w:type="dxa"/>
            <w:shd w:val="clear" w:color="auto" w:fill="auto"/>
            <w:noWrap/>
            <w:vAlign w:val="bottom"/>
          </w:tcPr>
          <w:p w14:paraId="4BB34624" w14:textId="33FE8574" w:rsidR="009E52E1" w:rsidRPr="00ED0785" w:rsidRDefault="009E52E1" w:rsidP="009E52E1">
            <w:pPr>
              <w:pStyle w:val="TableText"/>
            </w:pPr>
            <w:r w:rsidRPr="00ED0785">
              <w:t>1,300</w:t>
            </w:r>
          </w:p>
        </w:tc>
        <w:tc>
          <w:tcPr>
            <w:tcW w:w="933" w:type="dxa"/>
            <w:tcBorders>
              <w:right w:val="nil"/>
            </w:tcBorders>
            <w:shd w:val="clear" w:color="auto" w:fill="auto"/>
            <w:noWrap/>
            <w:vAlign w:val="bottom"/>
          </w:tcPr>
          <w:p w14:paraId="3796BC94" w14:textId="465278D3" w:rsidR="009E52E1" w:rsidRPr="00ED0785" w:rsidRDefault="009E52E1" w:rsidP="009E52E1">
            <w:pPr>
              <w:pStyle w:val="TableText"/>
            </w:pPr>
            <w:r w:rsidRPr="00ED0785">
              <w:t>7.2</w:t>
            </w:r>
            <w:r>
              <w:t>%</w:t>
            </w:r>
          </w:p>
        </w:tc>
      </w:tr>
      <w:tr w:rsidR="009E52E1" w:rsidRPr="00ED0785" w14:paraId="7C3E67F6" w14:textId="77777777" w:rsidTr="009E52E1">
        <w:trPr>
          <w:jc w:val="center"/>
        </w:trPr>
        <w:tc>
          <w:tcPr>
            <w:tcW w:w="2222" w:type="dxa"/>
            <w:tcBorders>
              <w:left w:val="nil"/>
            </w:tcBorders>
            <w:shd w:val="clear" w:color="auto" w:fill="auto"/>
            <w:noWrap/>
            <w:vAlign w:val="bottom"/>
            <w:hideMark/>
          </w:tcPr>
          <w:p w14:paraId="5A9D4388" w14:textId="77777777" w:rsidR="009E52E1" w:rsidRPr="00ED0785" w:rsidRDefault="009E52E1" w:rsidP="009E52E1">
            <w:pPr>
              <w:pStyle w:val="TableText"/>
            </w:pPr>
            <w:r w:rsidRPr="00ED0785">
              <w:t>Lassen County</w:t>
            </w:r>
          </w:p>
        </w:tc>
        <w:tc>
          <w:tcPr>
            <w:tcW w:w="1702" w:type="dxa"/>
            <w:shd w:val="clear" w:color="auto" w:fill="auto"/>
            <w:noWrap/>
            <w:vAlign w:val="bottom"/>
            <w:hideMark/>
          </w:tcPr>
          <w:p w14:paraId="5E34AE91" w14:textId="77777777" w:rsidR="009E52E1" w:rsidRPr="00ED0785" w:rsidRDefault="009E52E1" w:rsidP="009E52E1">
            <w:pPr>
              <w:pStyle w:val="TableText"/>
            </w:pPr>
            <w:r w:rsidRPr="00ED0785">
              <w:t>560</w:t>
            </w:r>
          </w:p>
        </w:tc>
        <w:tc>
          <w:tcPr>
            <w:tcW w:w="933" w:type="dxa"/>
            <w:tcBorders>
              <w:right w:val="single" w:sz="12" w:space="0" w:color="auto"/>
            </w:tcBorders>
            <w:shd w:val="clear" w:color="auto" w:fill="auto"/>
            <w:noWrap/>
            <w:vAlign w:val="bottom"/>
            <w:hideMark/>
          </w:tcPr>
          <w:p w14:paraId="2619DBAD" w14:textId="427CB362" w:rsidR="009E52E1" w:rsidRPr="00ED0785" w:rsidRDefault="009E52E1" w:rsidP="009E52E1">
            <w:pPr>
              <w:pStyle w:val="TableText"/>
            </w:pPr>
            <w:r w:rsidRPr="00ED0785">
              <w:t>5.6</w:t>
            </w:r>
            <w:r>
              <w:t>%</w:t>
            </w:r>
          </w:p>
        </w:tc>
        <w:tc>
          <w:tcPr>
            <w:tcW w:w="2472" w:type="dxa"/>
            <w:tcBorders>
              <w:left w:val="single" w:sz="12" w:space="0" w:color="auto"/>
            </w:tcBorders>
            <w:shd w:val="clear" w:color="auto" w:fill="auto"/>
            <w:noWrap/>
            <w:vAlign w:val="bottom"/>
          </w:tcPr>
          <w:p w14:paraId="490D3E02" w14:textId="64F20DA4" w:rsidR="009E52E1" w:rsidRPr="00ED0785" w:rsidRDefault="009E52E1" w:rsidP="009E52E1">
            <w:pPr>
              <w:pStyle w:val="TableText"/>
            </w:pPr>
            <w:r w:rsidRPr="00ED0785">
              <w:t>Solano County</w:t>
            </w:r>
          </w:p>
        </w:tc>
        <w:tc>
          <w:tcPr>
            <w:tcW w:w="1818" w:type="dxa"/>
            <w:shd w:val="clear" w:color="auto" w:fill="auto"/>
            <w:noWrap/>
            <w:vAlign w:val="bottom"/>
          </w:tcPr>
          <w:p w14:paraId="1C10BB7B" w14:textId="3502485C" w:rsidR="009E52E1" w:rsidRPr="00ED0785" w:rsidRDefault="009E52E1" w:rsidP="009E52E1">
            <w:pPr>
              <w:pStyle w:val="TableText"/>
            </w:pPr>
            <w:r w:rsidRPr="00ED0785">
              <w:t>9,900</w:t>
            </w:r>
          </w:p>
        </w:tc>
        <w:tc>
          <w:tcPr>
            <w:tcW w:w="933" w:type="dxa"/>
            <w:tcBorders>
              <w:right w:val="nil"/>
            </w:tcBorders>
            <w:shd w:val="clear" w:color="auto" w:fill="auto"/>
            <w:noWrap/>
            <w:vAlign w:val="bottom"/>
          </w:tcPr>
          <w:p w14:paraId="48F50E9D" w14:textId="339ECDF6" w:rsidR="009E52E1" w:rsidRPr="00ED0785" w:rsidRDefault="009E52E1" w:rsidP="009E52E1">
            <w:pPr>
              <w:pStyle w:val="TableText"/>
            </w:pPr>
            <w:r w:rsidRPr="00ED0785">
              <w:t>4.8</w:t>
            </w:r>
            <w:r>
              <w:t>%</w:t>
            </w:r>
          </w:p>
        </w:tc>
      </w:tr>
      <w:tr w:rsidR="009E52E1" w:rsidRPr="00ED0785" w14:paraId="661EA7CB" w14:textId="77777777" w:rsidTr="009E52E1">
        <w:trPr>
          <w:jc w:val="center"/>
        </w:trPr>
        <w:tc>
          <w:tcPr>
            <w:tcW w:w="2222" w:type="dxa"/>
            <w:tcBorders>
              <w:left w:val="nil"/>
            </w:tcBorders>
            <w:shd w:val="clear" w:color="auto" w:fill="auto"/>
            <w:noWrap/>
            <w:vAlign w:val="bottom"/>
            <w:hideMark/>
          </w:tcPr>
          <w:p w14:paraId="01273AC9" w14:textId="77777777" w:rsidR="009E52E1" w:rsidRPr="00ED0785" w:rsidRDefault="009E52E1" w:rsidP="009E52E1">
            <w:pPr>
              <w:pStyle w:val="TableText"/>
            </w:pPr>
            <w:r w:rsidRPr="00ED0785">
              <w:t>Los Angeles County</w:t>
            </w:r>
          </w:p>
        </w:tc>
        <w:tc>
          <w:tcPr>
            <w:tcW w:w="1702" w:type="dxa"/>
            <w:shd w:val="clear" w:color="auto" w:fill="auto"/>
            <w:noWrap/>
            <w:vAlign w:val="bottom"/>
            <w:hideMark/>
          </w:tcPr>
          <w:p w14:paraId="5906F295" w14:textId="77777777" w:rsidR="009E52E1" w:rsidRPr="00ED0785" w:rsidRDefault="009E52E1" w:rsidP="009E52E1">
            <w:pPr>
              <w:pStyle w:val="TableText"/>
            </w:pPr>
            <w:r w:rsidRPr="00ED0785">
              <w:t>240,300</w:t>
            </w:r>
          </w:p>
        </w:tc>
        <w:tc>
          <w:tcPr>
            <w:tcW w:w="933" w:type="dxa"/>
            <w:tcBorders>
              <w:right w:val="single" w:sz="12" w:space="0" w:color="auto"/>
            </w:tcBorders>
            <w:shd w:val="clear" w:color="auto" w:fill="auto"/>
            <w:noWrap/>
            <w:vAlign w:val="bottom"/>
            <w:hideMark/>
          </w:tcPr>
          <w:p w14:paraId="7A95157E" w14:textId="44FA8367" w:rsidR="009E52E1" w:rsidRPr="00ED0785" w:rsidRDefault="009E52E1" w:rsidP="009E52E1">
            <w:pPr>
              <w:pStyle w:val="TableText"/>
            </w:pPr>
            <w:r w:rsidRPr="00ED0785">
              <w:t>4.7</w:t>
            </w:r>
            <w:r>
              <w:t>%</w:t>
            </w:r>
          </w:p>
        </w:tc>
        <w:tc>
          <w:tcPr>
            <w:tcW w:w="2472" w:type="dxa"/>
            <w:tcBorders>
              <w:left w:val="single" w:sz="12" w:space="0" w:color="auto"/>
            </w:tcBorders>
            <w:shd w:val="clear" w:color="auto" w:fill="auto"/>
            <w:noWrap/>
            <w:vAlign w:val="bottom"/>
          </w:tcPr>
          <w:p w14:paraId="4466867F" w14:textId="6E50165A" w:rsidR="009E52E1" w:rsidRPr="00ED0785" w:rsidRDefault="009E52E1" w:rsidP="009E52E1">
            <w:pPr>
              <w:pStyle w:val="TableText"/>
            </w:pPr>
            <w:r w:rsidRPr="00ED0785">
              <w:t>Sonoma County</w:t>
            </w:r>
          </w:p>
        </w:tc>
        <w:tc>
          <w:tcPr>
            <w:tcW w:w="1818" w:type="dxa"/>
            <w:shd w:val="clear" w:color="auto" w:fill="auto"/>
            <w:noWrap/>
            <w:vAlign w:val="bottom"/>
          </w:tcPr>
          <w:p w14:paraId="2C429C91" w14:textId="11767F8C" w:rsidR="009E52E1" w:rsidRPr="00ED0785" w:rsidRDefault="009E52E1" w:rsidP="009E52E1">
            <w:pPr>
              <w:pStyle w:val="TableText"/>
            </w:pPr>
            <w:r w:rsidRPr="00ED0785">
              <w:t>8,800</w:t>
            </w:r>
          </w:p>
        </w:tc>
        <w:tc>
          <w:tcPr>
            <w:tcW w:w="933" w:type="dxa"/>
            <w:tcBorders>
              <w:right w:val="nil"/>
            </w:tcBorders>
            <w:shd w:val="clear" w:color="auto" w:fill="auto"/>
            <w:noWrap/>
            <w:vAlign w:val="bottom"/>
          </w:tcPr>
          <w:p w14:paraId="127D25C5" w14:textId="0A07D349" w:rsidR="009E52E1" w:rsidRPr="00ED0785" w:rsidRDefault="009E52E1" w:rsidP="009E52E1">
            <w:pPr>
              <w:pStyle w:val="TableText"/>
            </w:pPr>
            <w:r w:rsidRPr="00ED0785">
              <w:t>3.4</w:t>
            </w:r>
            <w:r>
              <w:t>%</w:t>
            </w:r>
          </w:p>
        </w:tc>
      </w:tr>
      <w:tr w:rsidR="009E52E1" w:rsidRPr="00ED0785" w14:paraId="2D97419E" w14:textId="77777777" w:rsidTr="009E52E1">
        <w:trPr>
          <w:jc w:val="center"/>
        </w:trPr>
        <w:tc>
          <w:tcPr>
            <w:tcW w:w="2222" w:type="dxa"/>
            <w:tcBorders>
              <w:left w:val="nil"/>
            </w:tcBorders>
            <w:shd w:val="clear" w:color="auto" w:fill="auto"/>
            <w:noWrap/>
            <w:vAlign w:val="bottom"/>
            <w:hideMark/>
          </w:tcPr>
          <w:p w14:paraId="4117FD8C" w14:textId="77777777" w:rsidR="009E52E1" w:rsidRPr="00ED0785" w:rsidRDefault="009E52E1" w:rsidP="009E52E1">
            <w:pPr>
              <w:pStyle w:val="TableText"/>
            </w:pPr>
            <w:r w:rsidRPr="00ED0785">
              <w:t>Madera County</w:t>
            </w:r>
          </w:p>
        </w:tc>
        <w:tc>
          <w:tcPr>
            <w:tcW w:w="1702" w:type="dxa"/>
            <w:shd w:val="clear" w:color="auto" w:fill="auto"/>
            <w:noWrap/>
            <w:vAlign w:val="bottom"/>
            <w:hideMark/>
          </w:tcPr>
          <w:p w14:paraId="5066C5CA" w14:textId="77777777" w:rsidR="009E52E1" w:rsidRPr="00ED0785" w:rsidRDefault="009E52E1" w:rsidP="009E52E1">
            <w:pPr>
              <w:pStyle w:val="TableText"/>
            </w:pPr>
            <w:r w:rsidRPr="00ED0785">
              <w:t>4,900</w:t>
            </w:r>
          </w:p>
        </w:tc>
        <w:tc>
          <w:tcPr>
            <w:tcW w:w="933" w:type="dxa"/>
            <w:tcBorders>
              <w:right w:val="single" w:sz="12" w:space="0" w:color="auto"/>
            </w:tcBorders>
            <w:shd w:val="clear" w:color="auto" w:fill="auto"/>
            <w:noWrap/>
            <w:vAlign w:val="bottom"/>
            <w:hideMark/>
          </w:tcPr>
          <w:p w14:paraId="11BEBFBC" w14:textId="598FE739" w:rsidR="009E52E1" w:rsidRPr="00ED0785" w:rsidRDefault="009E52E1" w:rsidP="009E52E1">
            <w:pPr>
              <w:pStyle w:val="TableText"/>
            </w:pPr>
            <w:r w:rsidRPr="00ED0785">
              <w:t>8.1</w:t>
            </w:r>
            <w:r>
              <w:t>%</w:t>
            </w:r>
          </w:p>
        </w:tc>
        <w:tc>
          <w:tcPr>
            <w:tcW w:w="2472" w:type="dxa"/>
            <w:tcBorders>
              <w:left w:val="single" w:sz="12" w:space="0" w:color="auto"/>
            </w:tcBorders>
            <w:shd w:val="clear" w:color="auto" w:fill="auto"/>
            <w:noWrap/>
            <w:vAlign w:val="bottom"/>
          </w:tcPr>
          <w:p w14:paraId="5DCE519B" w14:textId="69415E8D" w:rsidR="009E52E1" w:rsidRPr="00ED0785" w:rsidRDefault="009E52E1" w:rsidP="009E52E1">
            <w:pPr>
              <w:pStyle w:val="TableText"/>
            </w:pPr>
            <w:r w:rsidRPr="00ED0785">
              <w:t>Stanislaus County</w:t>
            </w:r>
          </w:p>
        </w:tc>
        <w:tc>
          <w:tcPr>
            <w:tcW w:w="1818" w:type="dxa"/>
            <w:shd w:val="clear" w:color="auto" w:fill="auto"/>
            <w:noWrap/>
            <w:vAlign w:val="bottom"/>
          </w:tcPr>
          <w:p w14:paraId="4F1D9DFF" w14:textId="0BD5288F" w:rsidR="009E52E1" w:rsidRPr="00ED0785" w:rsidRDefault="009E52E1" w:rsidP="009E52E1">
            <w:pPr>
              <w:pStyle w:val="TableText"/>
            </w:pPr>
            <w:r w:rsidRPr="00ED0785">
              <w:t>18,200</w:t>
            </w:r>
          </w:p>
        </w:tc>
        <w:tc>
          <w:tcPr>
            <w:tcW w:w="933" w:type="dxa"/>
            <w:tcBorders>
              <w:right w:val="nil"/>
            </w:tcBorders>
            <w:shd w:val="clear" w:color="auto" w:fill="auto"/>
            <w:noWrap/>
            <w:vAlign w:val="bottom"/>
          </w:tcPr>
          <w:p w14:paraId="3E430EB0" w14:textId="0B81A78E" w:rsidR="009E52E1" w:rsidRPr="00ED0785" w:rsidRDefault="009E52E1" w:rsidP="009E52E1">
            <w:pPr>
              <w:pStyle w:val="TableText"/>
            </w:pPr>
            <w:r w:rsidRPr="00ED0785">
              <w:t>7.5</w:t>
            </w:r>
            <w:r>
              <w:t>%</w:t>
            </w:r>
          </w:p>
        </w:tc>
      </w:tr>
      <w:tr w:rsidR="009E52E1" w:rsidRPr="00ED0785" w14:paraId="20E57744" w14:textId="77777777" w:rsidTr="009E52E1">
        <w:trPr>
          <w:jc w:val="center"/>
        </w:trPr>
        <w:tc>
          <w:tcPr>
            <w:tcW w:w="2222" w:type="dxa"/>
            <w:tcBorders>
              <w:left w:val="nil"/>
            </w:tcBorders>
            <w:shd w:val="clear" w:color="auto" w:fill="auto"/>
            <w:noWrap/>
            <w:vAlign w:val="bottom"/>
            <w:hideMark/>
          </w:tcPr>
          <w:p w14:paraId="1EBD0F69" w14:textId="77777777" w:rsidR="009E52E1" w:rsidRPr="00ED0785" w:rsidRDefault="009E52E1" w:rsidP="009E52E1">
            <w:pPr>
              <w:pStyle w:val="TableText"/>
            </w:pPr>
            <w:r w:rsidRPr="00ED0785">
              <w:t>Marin County</w:t>
            </w:r>
          </w:p>
        </w:tc>
        <w:tc>
          <w:tcPr>
            <w:tcW w:w="1702" w:type="dxa"/>
            <w:shd w:val="clear" w:color="auto" w:fill="auto"/>
            <w:noWrap/>
            <w:vAlign w:val="bottom"/>
            <w:hideMark/>
          </w:tcPr>
          <w:p w14:paraId="5604EDC9" w14:textId="77777777" w:rsidR="009E52E1" w:rsidRPr="00ED0785" w:rsidRDefault="009E52E1" w:rsidP="009E52E1">
            <w:pPr>
              <w:pStyle w:val="TableText"/>
            </w:pPr>
            <w:r w:rsidRPr="00ED0785">
              <w:t>4,000</w:t>
            </w:r>
          </w:p>
        </w:tc>
        <w:tc>
          <w:tcPr>
            <w:tcW w:w="933" w:type="dxa"/>
            <w:tcBorders>
              <w:right w:val="single" w:sz="12" w:space="0" w:color="auto"/>
            </w:tcBorders>
            <w:shd w:val="clear" w:color="auto" w:fill="auto"/>
            <w:noWrap/>
            <w:vAlign w:val="bottom"/>
            <w:hideMark/>
          </w:tcPr>
          <w:p w14:paraId="16230C2B" w14:textId="00A669A0" w:rsidR="009E52E1" w:rsidRPr="00ED0785" w:rsidRDefault="009E52E1" w:rsidP="009E52E1">
            <w:pPr>
              <w:pStyle w:val="TableText"/>
            </w:pPr>
            <w:r w:rsidRPr="00ED0785">
              <w:t>2.9</w:t>
            </w:r>
            <w:r>
              <w:t>%</w:t>
            </w:r>
          </w:p>
        </w:tc>
        <w:tc>
          <w:tcPr>
            <w:tcW w:w="2472" w:type="dxa"/>
            <w:tcBorders>
              <w:left w:val="single" w:sz="12" w:space="0" w:color="auto"/>
            </w:tcBorders>
            <w:shd w:val="clear" w:color="auto" w:fill="auto"/>
            <w:noWrap/>
            <w:vAlign w:val="bottom"/>
          </w:tcPr>
          <w:p w14:paraId="5996806C" w14:textId="0805AF82" w:rsidR="009E52E1" w:rsidRPr="00ED0785" w:rsidRDefault="009E52E1" w:rsidP="009E52E1">
            <w:pPr>
              <w:pStyle w:val="TableText"/>
            </w:pPr>
            <w:r w:rsidRPr="00ED0785">
              <w:t>Sutter County</w:t>
            </w:r>
          </w:p>
        </w:tc>
        <w:tc>
          <w:tcPr>
            <w:tcW w:w="1818" w:type="dxa"/>
            <w:shd w:val="clear" w:color="auto" w:fill="auto"/>
            <w:noWrap/>
            <w:vAlign w:val="bottom"/>
          </w:tcPr>
          <w:p w14:paraId="7DC98EEA" w14:textId="5D2AB530" w:rsidR="009E52E1" w:rsidRPr="00ED0785" w:rsidRDefault="009E52E1" w:rsidP="009E52E1">
            <w:pPr>
              <w:pStyle w:val="TableText"/>
            </w:pPr>
            <w:r w:rsidRPr="00ED0785">
              <w:t>3,900</w:t>
            </w:r>
          </w:p>
        </w:tc>
        <w:tc>
          <w:tcPr>
            <w:tcW w:w="933" w:type="dxa"/>
            <w:tcBorders>
              <w:right w:val="nil"/>
            </w:tcBorders>
            <w:shd w:val="clear" w:color="auto" w:fill="auto"/>
            <w:noWrap/>
            <w:vAlign w:val="bottom"/>
          </w:tcPr>
          <w:p w14:paraId="387CA57D" w14:textId="4A75DDA9" w:rsidR="009E52E1" w:rsidRPr="00ED0785" w:rsidRDefault="009E52E1" w:rsidP="009E52E1">
            <w:pPr>
              <w:pStyle w:val="TableText"/>
            </w:pPr>
            <w:r w:rsidRPr="00ED0785">
              <w:t>8.7</w:t>
            </w:r>
            <w:r>
              <w:t>%</w:t>
            </w:r>
          </w:p>
        </w:tc>
      </w:tr>
      <w:tr w:rsidR="009E52E1" w:rsidRPr="00ED0785" w14:paraId="1CF2D80A" w14:textId="77777777" w:rsidTr="009E52E1">
        <w:trPr>
          <w:jc w:val="center"/>
        </w:trPr>
        <w:tc>
          <w:tcPr>
            <w:tcW w:w="2222" w:type="dxa"/>
            <w:tcBorders>
              <w:left w:val="nil"/>
            </w:tcBorders>
            <w:shd w:val="clear" w:color="auto" w:fill="auto"/>
            <w:noWrap/>
            <w:vAlign w:val="bottom"/>
            <w:hideMark/>
          </w:tcPr>
          <w:p w14:paraId="1E1D30CA" w14:textId="77777777" w:rsidR="009E52E1" w:rsidRPr="00ED0785" w:rsidRDefault="009E52E1" w:rsidP="009E52E1">
            <w:pPr>
              <w:pStyle w:val="TableText"/>
            </w:pPr>
            <w:r w:rsidRPr="00ED0785">
              <w:t>Mariposa County</w:t>
            </w:r>
          </w:p>
        </w:tc>
        <w:tc>
          <w:tcPr>
            <w:tcW w:w="1702" w:type="dxa"/>
            <w:shd w:val="clear" w:color="auto" w:fill="auto"/>
            <w:noWrap/>
            <w:vAlign w:val="bottom"/>
            <w:hideMark/>
          </w:tcPr>
          <w:p w14:paraId="60E57AFD" w14:textId="77777777" w:rsidR="009E52E1" w:rsidRPr="00ED0785" w:rsidRDefault="009E52E1" w:rsidP="009E52E1">
            <w:pPr>
              <w:pStyle w:val="TableText"/>
            </w:pPr>
            <w:r w:rsidRPr="00ED0785">
              <w:t>450</w:t>
            </w:r>
          </w:p>
        </w:tc>
        <w:tc>
          <w:tcPr>
            <w:tcW w:w="933" w:type="dxa"/>
            <w:tcBorders>
              <w:right w:val="single" w:sz="12" w:space="0" w:color="auto"/>
            </w:tcBorders>
            <w:shd w:val="clear" w:color="auto" w:fill="auto"/>
            <w:noWrap/>
            <w:vAlign w:val="bottom"/>
            <w:hideMark/>
          </w:tcPr>
          <w:p w14:paraId="5EAC324C" w14:textId="0B2ED288" w:rsidR="009E52E1" w:rsidRPr="00ED0785" w:rsidRDefault="009E52E1" w:rsidP="009E52E1">
            <w:pPr>
              <w:pStyle w:val="TableText"/>
            </w:pPr>
            <w:r w:rsidRPr="00ED0785">
              <w:t>5.9</w:t>
            </w:r>
            <w:r>
              <w:t>%</w:t>
            </w:r>
          </w:p>
        </w:tc>
        <w:tc>
          <w:tcPr>
            <w:tcW w:w="2472" w:type="dxa"/>
            <w:tcBorders>
              <w:left w:val="single" w:sz="12" w:space="0" w:color="auto"/>
            </w:tcBorders>
            <w:shd w:val="clear" w:color="auto" w:fill="auto"/>
            <w:noWrap/>
            <w:vAlign w:val="bottom"/>
          </w:tcPr>
          <w:p w14:paraId="0F126727" w14:textId="26C57377" w:rsidR="009E52E1" w:rsidRPr="00ED0785" w:rsidRDefault="009E52E1" w:rsidP="009E52E1">
            <w:pPr>
              <w:pStyle w:val="TableText"/>
            </w:pPr>
            <w:r w:rsidRPr="00ED0785">
              <w:t>Tehama County</w:t>
            </w:r>
          </w:p>
        </w:tc>
        <w:tc>
          <w:tcPr>
            <w:tcW w:w="1818" w:type="dxa"/>
            <w:shd w:val="clear" w:color="auto" w:fill="auto"/>
            <w:noWrap/>
            <w:vAlign w:val="bottom"/>
          </w:tcPr>
          <w:p w14:paraId="500BF8F7" w14:textId="7FEB5240" w:rsidR="009E52E1" w:rsidRPr="00ED0785" w:rsidRDefault="009E52E1" w:rsidP="009E52E1">
            <w:pPr>
              <w:pStyle w:val="TableText"/>
            </w:pPr>
            <w:r w:rsidRPr="00ED0785">
              <w:t>1,630</w:t>
            </w:r>
          </w:p>
        </w:tc>
        <w:tc>
          <w:tcPr>
            <w:tcW w:w="933" w:type="dxa"/>
            <w:tcBorders>
              <w:right w:val="nil"/>
            </w:tcBorders>
            <w:shd w:val="clear" w:color="auto" w:fill="auto"/>
            <w:noWrap/>
            <w:vAlign w:val="bottom"/>
          </w:tcPr>
          <w:p w14:paraId="765B059A" w14:textId="01BF6008" w:rsidR="009E52E1" w:rsidRPr="00ED0785" w:rsidRDefault="009E52E1" w:rsidP="009E52E1">
            <w:pPr>
              <w:pStyle w:val="TableText"/>
            </w:pPr>
            <w:r w:rsidRPr="00ED0785">
              <w:t>6.4</w:t>
            </w:r>
            <w:r>
              <w:t>%</w:t>
            </w:r>
          </w:p>
        </w:tc>
      </w:tr>
      <w:tr w:rsidR="009E52E1" w:rsidRPr="00ED0785" w14:paraId="07DC7E22" w14:textId="77777777" w:rsidTr="009E52E1">
        <w:trPr>
          <w:jc w:val="center"/>
        </w:trPr>
        <w:tc>
          <w:tcPr>
            <w:tcW w:w="2222" w:type="dxa"/>
            <w:tcBorders>
              <w:left w:val="nil"/>
            </w:tcBorders>
            <w:shd w:val="clear" w:color="auto" w:fill="auto"/>
            <w:noWrap/>
            <w:vAlign w:val="bottom"/>
            <w:hideMark/>
          </w:tcPr>
          <w:p w14:paraId="2B56AB1C" w14:textId="77777777" w:rsidR="009E52E1" w:rsidRPr="00ED0785" w:rsidRDefault="009E52E1" w:rsidP="009E52E1">
            <w:pPr>
              <w:pStyle w:val="TableText"/>
            </w:pPr>
            <w:r w:rsidRPr="00ED0785">
              <w:t>Mendocino County</w:t>
            </w:r>
          </w:p>
        </w:tc>
        <w:tc>
          <w:tcPr>
            <w:tcW w:w="1702" w:type="dxa"/>
            <w:shd w:val="clear" w:color="auto" w:fill="auto"/>
            <w:noWrap/>
            <w:vAlign w:val="bottom"/>
            <w:hideMark/>
          </w:tcPr>
          <w:p w14:paraId="36EF22D8" w14:textId="77777777" w:rsidR="009E52E1" w:rsidRPr="00ED0785" w:rsidRDefault="009E52E1" w:rsidP="009E52E1">
            <w:pPr>
              <w:pStyle w:val="TableText"/>
            </w:pPr>
            <w:r w:rsidRPr="00ED0785">
              <w:t>1,790</w:t>
            </w:r>
          </w:p>
        </w:tc>
        <w:tc>
          <w:tcPr>
            <w:tcW w:w="933" w:type="dxa"/>
            <w:tcBorders>
              <w:right w:val="single" w:sz="12" w:space="0" w:color="auto"/>
            </w:tcBorders>
            <w:shd w:val="clear" w:color="auto" w:fill="auto"/>
            <w:noWrap/>
            <w:vAlign w:val="bottom"/>
            <w:hideMark/>
          </w:tcPr>
          <w:p w14:paraId="0F1891DD" w14:textId="1E4F4FC0" w:rsidR="009E52E1" w:rsidRPr="00ED0785" w:rsidRDefault="009E52E1" w:rsidP="009E52E1">
            <w:pPr>
              <w:pStyle w:val="TableText"/>
            </w:pPr>
            <w:r w:rsidRPr="00ED0785">
              <w:t>4.5</w:t>
            </w:r>
            <w:r>
              <w:t>%</w:t>
            </w:r>
          </w:p>
        </w:tc>
        <w:tc>
          <w:tcPr>
            <w:tcW w:w="2472" w:type="dxa"/>
            <w:tcBorders>
              <w:left w:val="single" w:sz="12" w:space="0" w:color="auto"/>
            </w:tcBorders>
            <w:shd w:val="clear" w:color="auto" w:fill="auto"/>
            <w:noWrap/>
            <w:vAlign w:val="bottom"/>
          </w:tcPr>
          <w:p w14:paraId="3CA07326" w14:textId="25D3D346" w:rsidR="009E52E1" w:rsidRPr="00ED0785" w:rsidRDefault="009E52E1" w:rsidP="009E52E1">
            <w:pPr>
              <w:pStyle w:val="TableText"/>
            </w:pPr>
            <w:r w:rsidRPr="00ED0785">
              <w:t>Trinity County</w:t>
            </w:r>
          </w:p>
        </w:tc>
        <w:tc>
          <w:tcPr>
            <w:tcW w:w="1818" w:type="dxa"/>
            <w:shd w:val="clear" w:color="auto" w:fill="auto"/>
            <w:noWrap/>
            <w:vAlign w:val="bottom"/>
          </w:tcPr>
          <w:p w14:paraId="726E448E" w14:textId="4A5CD908" w:rsidR="009E52E1" w:rsidRPr="00ED0785" w:rsidRDefault="009E52E1" w:rsidP="009E52E1">
            <w:pPr>
              <w:pStyle w:val="TableText"/>
            </w:pPr>
            <w:r w:rsidRPr="00ED0785">
              <w:t>300</w:t>
            </w:r>
          </w:p>
        </w:tc>
        <w:tc>
          <w:tcPr>
            <w:tcW w:w="933" w:type="dxa"/>
            <w:tcBorders>
              <w:right w:val="nil"/>
            </w:tcBorders>
            <w:shd w:val="clear" w:color="auto" w:fill="auto"/>
            <w:noWrap/>
            <w:vAlign w:val="bottom"/>
          </w:tcPr>
          <w:p w14:paraId="0B48EDEE" w14:textId="66FEE604" w:rsidR="009E52E1" w:rsidRPr="00ED0785" w:rsidRDefault="009E52E1" w:rsidP="009E52E1">
            <w:pPr>
              <w:pStyle w:val="TableText"/>
            </w:pPr>
            <w:r w:rsidRPr="00ED0785">
              <w:t>6.0</w:t>
            </w:r>
            <w:r>
              <w:t>%</w:t>
            </w:r>
          </w:p>
        </w:tc>
      </w:tr>
      <w:tr w:rsidR="009E52E1" w:rsidRPr="00ED0785" w14:paraId="159AD7CA" w14:textId="77777777" w:rsidTr="009E52E1">
        <w:trPr>
          <w:jc w:val="center"/>
        </w:trPr>
        <w:tc>
          <w:tcPr>
            <w:tcW w:w="2222" w:type="dxa"/>
            <w:tcBorders>
              <w:left w:val="nil"/>
            </w:tcBorders>
            <w:shd w:val="clear" w:color="auto" w:fill="auto"/>
            <w:noWrap/>
            <w:vAlign w:val="bottom"/>
            <w:hideMark/>
          </w:tcPr>
          <w:p w14:paraId="30DF9A72" w14:textId="77777777" w:rsidR="009E52E1" w:rsidRPr="00ED0785" w:rsidRDefault="009E52E1" w:rsidP="009E52E1">
            <w:pPr>
              <w:pStyle w:val="TableText"/>
            </w:pPr>
            <w:r w:rsidRPr="00ED0785">
              <w:t>Merced County</w:t>
            </w:r>
          </w:p>
        </w:tc>
        <w:tc>
          <w:tcPr>
            <w:tcW w:w="1702" w:type="dxa"/>
            <w:shd w:val="clear" w:color="auto" w:fill="auto"/>
            <w:noWrap/>
            <w:vAlign w:val="bottom"/>
            <w:hideMark/>
          </w:tcPr>
          <w:p w14:paraId="0D34D4D2" w14:textId="77777777" w:rsidR="009E52E1" w:rsidRPr="00ED0785" w:rsidRDefault="009E52E1" w:rsidP="009E52E1">
            <w:pPr>
              <w:pStyle w:val="TableText"/>
            </w:pPr>
            <w:r w:rsidRPr="00ED0785">
              <w:t>10,800</w:t>
            </w:r>
          </w:p>
        </w:tc>
        <w:tc>
          <w:tcPr>
            <w:tcW w:w="933" w:type="dxa"/>
            <w:tcBorders>
              <w:right w:val="single" w:sz="12" w:space="0" w:color="auto"/>
            </w:tcBorders>
            <w:shd w:val="clear" w:color="auto" w:fill="auto"/>
            <w:noWrap/>
            <w:vAlign w:val="bottom"/>
            <w:hideMark/>
          </w:tcPr>
          <w:p w14:paraId="3ED521C1" w14:textId="63B33B66" w:rsidR="009E52E1" w:rsidRPr="00ED0785" w:rsidRDefault="009E52E1" w:rsidP="009E52E1">
            <w:pPr>
              <w:pStyle w:val="TableText"/>
            </w:pPr>
            <w:r w:rsidRPr="00ED0785">
              <w:t>9.3</w:t>
            </w:r>
            <w:r>
              <w:t>%</w:t>
            </w:r>
          </w:p>
        </w:tc>
        <w:tc>
          <w:tcPr>
            <w:tcW w:w="2472" w:type="dxa"/>
            <w:tcBorders>
              <w:left w:val="single" w:sz="12" w:space="0" w:color="auto"/>
            </w:tcBorders>
            <w:shd w:val="clear" w:color="auto" w:fill="auto"/>
            <w:noWrap/>
            <w:vAlign w:val="bottom"/>
          </w:tcPr>
          <w:p w14:paraId="117CBC10" w14:textId="5BCB06B0" w:rsidR="009E52E1" w:rsidRPr="00ED0785" w:rsidRDefault="009E52E1" w:rsidP="009E52E1">
            <w:pPr>
              <w:pStyle w:val="TableText"/>
            </w:pPr>
            <w:r w:rsidRPr="00ED0785">
              <w:t>Tulare County</w:t>
            </w:r>
          </w:p>
        </w:tc>
        <w:tc>
          <w:tcPr>
            <w:tcW w:w="1818" w:type="dxa"/>
            <w:shd w:val="clear" w:color="auto" w:fill="auto"/>
            <w:noWrap/>
            <w:vAlign w:val="bottom"/>
          </w:tcPr>
          <w:p w14:paraId="79476835" w14:textId="16CC629C" w:rsidR="009E52E1" w:rsidRPr="00ED0785" w:rsidRDefault="009E52E1" w:rsidP="009E52E1">
            <w:pPr>
              <w:pStyle w:val="TableText"/>
            </w:pPr>
            <w:r w:rsidRPr="00ED0785">
              <w:t>21,400</w:t>
            </w:r>
          </w:p>
        </w:tc>
        <w:tc>
          <w:tcPr>
            <w:tcW w:w="933" w:type="dxa"/>
            <w:tcBorders>
              <w:right w:val="nil"/>
            </w:tcBorders>
            <w:shd w:val="clear" w:color="auto" w:fill="auto"/>
            <w:noWrap/>
            <w:vAlign w:val="bottom"/>
          </w:tcPr>
          <w:p w14:paraId="4375B483" w14:textId="39EFB7E4" w:rsidR="009E52E1" w:rsidRPr="00ED0785" w:rsidRDefault="009E52E1" w:rsidP="009E52E1">
            <w:pPr>
              <w:pStyle w:val="TableText"/>
            </w:pPr>
            <w:r w:rsidRPr="00ED0785">
              <w:t>10.4</w:t>
            </w:r>
            <w:r>
              <w:t>%</w:t>
            </w:r>
          </w:p>
        </w:tc>
      </w:tr>
      <w:tr w:rsidR="009E52E1" w:rsidRPr="00ED0785" w14:paraId="5DF964A4" w14:textId="77777777" w:rsidTr="009E52E1">
        <w:trPr>
          <w:jc w:val="center"/>
        </w:trPr>
        <w:tc>
          <w:tcPr>
            <w:tcW w:w="2222" w:type="dxa"/>
            <w:tcBorders>
              <w:left w:val="nil"/>
            </w:tcBorders>
            <w:shd w:val="clear" w:color="auto" w:fill="auto"/>
            <w:noWrap/>
            <w:vAlign w:val="bottom"/>
            <w:hideMark/>
          </w:tcPr>
          <w:p w14:paraId="70551DD2" w14:textId="77777777" w:rsidR="009E52E1" w:rsidRPr="00ED0785" w:rsidRDefault="009E52E1" w:rsidP="009E52E1">
            <w:pPr>
              <w:pStyle w:val="TableText"/>
            </w:pPr>
            <w:r w:rsidRPr="00ED0785">
              <w:t>Modoc County</w:t>
            </w:r>
          </w:p>
        </w:tc>
        <w:tc>
          <w:tcPr>
            <w:tcW w:w="1702" w:type="dxa"/>
            <w:shd w:val="clear" w:color="auto" w:fill="auto"/>
            <w:noWrap/>
            <w:vAlign w:val="bottom"/>
            <w:hideMark/>
          </w:tcPr>
          <w:p w14:paraId="0C65FF66" w14:textId="77777777" w:rsidR="009E52E1" w:rsidRPr="00ED0785" w:rsidRDefault="009E52E1" w:rsidP="009E52E1">
            <w:pPr>
              <w:pStyle w:val="TableText"/>
            </w:pPr>
            <w:r w:rsidRPr="00ED0785">
              <w:t>260</w:t>
            </w:r>
          </w:p>
        </w:tc>
        <w:tc>
          <w:tcPr>
            <w:tcW w:w="933" w:type="dxa"/>
            <w:tcBorders>
              <w:right w:val="single" w:sz="12" w:space="0" w:color="auto"/>
            </w:tcBorders>
            <w:shd w:val="clear" w:color="auto" w:fill="auto"/>
            <w:noWrap/>
            <w:vAlign w:val="bottom"/>
            <w:hideMark/>
          </w:tcPr>
          <w:p w14:paraId="40039424" w14:textId="7D621E8B" w:rsidR="009E52E1" w:rsidRPr="00ED0785" w:rsidRDefault="009E52E1" w:rsidP="009E52E1">
            <w:pPr>
              <w:pStyle w:val="TableText"/>
            </w:pPr>
            <w:r w:rsidRPr="00ED0785">
              <w:t>8.0</w:t>
            </w:r>
            <w:r>
              <w:t>%</w:t>
            </w:r>
          </w:p>
        </w:tc>
        <w:tc>
          <w:tcPr>
            <w:tcW w:w="2472" w:type="dxa"/>
            <w:tcBorders>
              <w:left w:val="single" w:sz="12" w:space="0" w:color="auto"/>
            </w:tcBorders>
            <w:shd w:val="clear" w:color="auto" w:fill="auto"/>
            <w:noWrap/>
            <w:vAlign w:val="bottom"/>
          </w:tcPr>
          <w:p w14:paraId="645709BC" w14:textId="3C6E68AA" w:rsidR="009E52E1" w:rsidRPr="00ED0785" w:rsidRDefault="009E52E1" w:rsidP="009E52E1">
            <w:pPr>
              <w:pStyle w:val="TableText"/>
            </w:pPr>
            <w:r w:rsidRPr="00ED0785">
              <w:t>Tuolumne County</w:t>
            </w:r>
          </w:p>
        </w:tc>
        <w:tc>
          <w:tcPr>
            <w:tcW w:w="1818" w:type="dxa"/>
            <w:shd w:val="clear" w:color="auto" w:fill="auto"/>
            <w:noWrap/>
            <w:vAlign w:val="bottom"/>
          </w:tcPr>
          <w:p w14:paraId="7A1D5745" w14:textId="72B21C7E" w:rsidR="009E52E1" w:rsidRPr="00ED0785" w:rsidRDefault="009E52E1" w:rsidP="009E52E1">
            <w:pPr>
              <w:pStyle w:val="TableText"/>
            </w:pPr>
            <w:r w:rsidRPr="00ED0785">
              <w:t>1,160</w:t>
            </w:r>
          </w:p>
        </w:tc>
        <w:tc>
          <w:tcPr>
            <w:tcW w:w="933" w:type="dxa"/>
            <w:tcBorders>
              <w:right w:val="nil"/>
            </w:tcBorders>
            <w:shd w:val="clear" w:color="auto" w:fill="auto"/>
            <w:noWrap/>
            <w:vAlign w:val="bottom"/>
          </w:tcPr>
          <w:p w14:paraId="52A9FA6F" w14:textId="35FC0CB4" w:rsidR="009E52E1" w:rsidRPr="00ED0785" w:rsidRDefault="009E52E1" w:rsidP="009E52E1">
            <w:pPr>
              <w:pStyle w:val="TableText"/>
            </w:pPr>
            <w:r w:rsidRPr="00ED0785">
              <w:t>5.4</w:t>
            </w:r>
            <w:r>
              <w:t>%</w:t>
            </w:r>
          </w:p>
        </w:tc>
      </w:tr>
      <w:tr w:rsidR="009E52E1" w:rsidRPr="00ED0785" w14:paraId="43E131C8" w14:textId="77777777" w:rsidTr="009E52E1">
        <w:trPr>
          <w:jc w:val="center"/>
        </w:trPr>
        <w:tc>
          <w:tcPr>
            <w:tcW w:w="2222" w:type="dxa"/>
            <w:tcBorders>
              <w:left w:val="nil"/>
            </w:tcBorders>
            <w:shd w:val="clear" w:color="auto" w:fill="auto"/>
            <w:noWrap/>
            <w:vAlign w:val="bottom"/>
            <w:hideMark/>
          </w:tcPr>
          <w:p w14:paraId="4396CC22" w14:textId="77777777" w:rsidR="009E52E1" w:rsidRPr="00ED0785" w:rsidRDefault="009E52E1" w:rsidP="009E52E1">
            <w:pPr>
              <w:pStyle w:val="TableText"/>
            </w:pPr>
            <w:r w:rsidRPr="00ED0785">
              <w:t>Mono County</w:t>
            </w:r>
          </w:p>
        </w:tc>
        <w:tc>
          <w:tcPr>
            <w:tcW w:w="1702" w:type="dxa"/>
            <w:shd w:val="clear" w:color="auto" w:fill="auto"/>
            <w:noWrap/>
            <w:vAlign w:val="bottom"/>
            <w:hideMark/>
          </w:tcPr>
          <w:p w14:paraId="0B22050E" w14:textId="77777777" w:rsidR="009E52E1" w:rsidRPr="00ED0785" w:rsidRDefault="009E52E1" w:rsidP="009E52E1">
            <w:pPr>
              <w:pStyle w:val="TableText"/>
            </w:pPr>
            <w:r w:rsidRPr="00ED0785">
              <w:t>380</w:t>
            </w:r>
          </w:p>
        </w:tc>
        <w:tc>
          <w:tcPr>
            <w:tcW w:w="933" w:type="dxa"/>
            <w:tcBorders>
              <w:right w:val="single" w:sz="12" w:space="0" w:color="auto"/>
            </w:tcBorders>
            <w:shd w:val="clear" w:color="auto" w:fill="auto"/>
            <w:noWrap/>
            <w:vAlign w:val="bottom"/>
            <w:hideMark/>
          </w:tcPr>
          <w:p w14:paraId="33288F40" w14:textId="383AAB0A" w:rsidR="009E52E1" w:rsidRPr="00ED0785" w:rsidRDefault="009E52E1" w:rsidP="009E52E1">
            <w:pPr>
              <w:pStyle w:val="TableText"/>
            </w:pPr>
            <w:r w:rsidRPr="00ED0785">
              <w:t>4.4</w:t>
            </w:r>
            <w:r>
              <w:t>%</w:t>
            </w:r>
          </w:p>
        </w:tc>
        <w:tc>
          <w:tcPr>
            <w:tcW w:w="2472" w:type="dxa"/>
            <w:tcBorders>
              <w:left w:val="single" w:sz="12" w:space="0" w:color="auto"/>
            </w:tcBorders>
            <w:shd w:val="clear" w:color="auto" w:fill="auto"/>
            <w:noWrap/>
            <w:vAlign w:val="bottom"/>
          </w:tcPr>
          <w:p w14:paraId="360C67B0" w14:textId="218023D8" w:rsidR="009E52E1" w:rsidRPr="00ED0785" w:rsidRDefault="009E52E1" w:rsidP="009E52E1">
            <w:pPr>
              <w:pStyle w:val="TableText"/>
            </w:pPr>
            <w:r w:rsidRPr="00ED0785">
              <w:t>Ventura County</w:t>
            </w:r>
          </w:p>
        </w:tc>
        <w:tc>
          <w:tcPr>
            <w:tcW w:w="1818" w:type="dxa"/>
            <w:shd w:val="clear" w:color="auto" w:fill="auto"/>
            <w:noWrap/>
            <w:vAlign w:val="bottom"/>
          </w:tcPr>
          <w:p w14:paraId="14F291D3" w14:textId="4BEBCFC3" w:rsidR="009E52E1" w:rsidRPr="00ED0785" w:rsidRDefault="009E52E1" w:rsidP="009E52E1">
            <w:pPr>
              <w:pStyle w:val="TableText"/>
            </w:pPr>
            <w:r w:rsidRPr="00ED0785">
              <w:t>19,100</w:t>
            </w:r>
          </w:p>
        </w:tc>
        <w:tc>
          <w:tcPr>
            <w:tcW w:w="933" w:type="dxa"/>
            <w:tcBorders>
              <w:right w:val="nil"/>
            </w:tcBorders>
            <w:shd w:val="clear" w:color="auto" w:fill="auto"/>
            <w:noWrap/>
            <w:vAlign w:val="bottom"/>
          </w:tcPr>
          <w:p w14:paraId="38D0F8AF" w14:textId="308E51D2" w:rsidR="009E52E1" w:rsidRPr="00ED0785" w:rsidRDefault="009E52E1" w:rsidP="009E52E1">
            <w:pPr>
              <w:pStyle w:val="TableText"/>
            </w:pPr>
            <w:r w:rsidRPr="00ED0785">
              <w:t>4.5</w:t>
            </w:r>
            <w:r>
              <w:t>%</w:t>
            </w:r>
          </w:p>
        </w:tc>
      </w:tr>
      <w:tr w:rsidR="009E52E1" w:rsidRPr="00ED0785" w14:paraId="749597A8" w14:textId="77777777" w:rsidTr="009E52E1">
        <w:trPr>
          <w:jc w:val="center"/>
        </w:trPr>
        <w:tc>
          <w:tcPr>
            <w:tcW w:w="2222" w:type="dxa"/>
            <w:tcBorders>
              <w:left w:val="nil"/>
            </w:tcBorders>
            <w:shd w:val="clear" w:color="auto" w:fill="auto"/>
            <w:noWrap/>
            <w:vAlign w:val="bottom"/>
            <w:hideMark/>
          </w:tcPr>
          <w:p w14:paraId="313FA830" w14:textId="77777777" w:rsidR="009E52E1" w:rsidRPr="00ED0785" w:rsidRDefault="009E52E1" w:rsidP="009E52E1">
            <w:pPr>
              <w:pStyle w:val="TableText"/>
            </w:pPr>
            <w:r w:rsidRPr="00ED0785">
              <w:t>Monterey County</w:t>
            </w:r>
          </w:p>
        </w:tc>
        <w:tc>
          <w:tcPr>
            <w:tcW w:w="1702" w:type="dxa"/>
            <w:shd w:val="clear" w:color="auto" w:fill="auto"/>
            <w:noWrap/>
            <w:vAlign w:val="bottom"/>
            <w:hideMark/>
          </w:tcPr>
          <w:p w14:paraId="72240DCE" w14:textId="77777777" w:rsidR="009E52E1" w:rsidRPr="00ED0785" w:rsidRDefault="009E52E1" w:rsidP="009E52E1">
            <w:pPr>
              <w:pStyle w:val="TableText"/>
            </w:pPr>
            <w:r w:rsidRPr="00ED0785">
              <w:t>15,800</w:t>
            </w:r>
          </w:p>
        </w:tc>
        <w:tc>
          <w:tcPr>
            <w:tcW w:w="933" w:type="dxa"/>
            <w:tcBorders>
              <w:right w:val="single" w:sz="12" w:space="0" w:color="auto"/>
            </w:tcBorders>
            <w:shd w:val="clear" w:color="auto" w:fill="auto"/>
            <w:noWrap/>
            <w:vAlign w:val="bottom"/>
            <w:hideMark/>
          </w:tcPr>
          <w:p w14:paraId="6C3285E7" w14:textId="3DC071E1" w:rsidR="009E52E1" w:rsidRPr="00ED0785" w:rsidRDefault="009E52E1" w:rsidP="009E52E1">
            <w:pPr>
              <w:pStyle w:val="TableText"/>
            </w:pPr>
            <w:r w:rsidRPr="00ED0785">
              <w:t>7.2</w:t>
            </w:r>
            <w:r>
              <w:t>%</w:t>
            </w:r>
          </w:p>
        </w:tc>
        <w:tc>
          <w:tcPr>
            <w:tcW w:w="2472" w:type="dxa"/>
            <w:tcBorders>
              <w:left w:val="single" w:sz="12" w:space="0" w:color="auto"/>
            </w:tcBorders>
            <w:shd w:val="clear" w:color="auto" w:fill="auto"/>
            <w:noWrap/>
            <w:vAlign w:val="bottom"/>
          </w:tcPr>
          <w:p w14:paraId="6947E8AD" w14:textId="5EE5A0EE" w:rsidR="009E52E1" w:rsidRPr="00ED0785" w:rsidRDefault="009E52E1" w:rsidP="009E52E1">
            <w:pPr>
              <w:pStyle w:val="TableText"/>
            </w:pPr>
            <w:r w:rsidRPr="00ED0785">
              <w:t>Yolo County</w:t>
            </w:r>
          </w:p>
        </w:tc>
        <w:tc>
          <w:tcPr>
            <w:tcW w:w="1818" w:type="dxa"/>
            <w:shd w:val="clear" w:color="auto" w:fill="auto"/>
            <w:noWrap/>
            <w:vAlign w:val="bottom"/>
          </w:tcPr>
          <w:p w14:paraId="06B61522" w14:textId="2A5BBAC8" w:rsidR="009E52E1" w:rsidRPr="00ED0785" w:rsidRDefault="009E52E1" w:rsidP="009E52E1">
            <w:pPr>
              <w:pStyle w:val="TableText"/>
            </w:pPr>
            <w:r w:rsidRPr="00ED0785">
              <w:t>5,400</w:t>
            </w:r>
          </w:p>
        </w:tc>
        <w:tc>
          <w:tcPr>
            <w:tcW w:w="933" w:type="dxa"/>
            <w:tcBorders>
              <w:right w:val="nil"/>
            </w:tcBorders>
            <w:shd w:val="clear" w:color="auto" w:fill="auto"/>
            <w:noWrap/>
            <w:vAlign w:val="bottom"/>
          </w:tcPr>
          <w:p w14:paraId="12557C7E" w14:textId="1C1948D9" w:rsidR="009E52E1" w:rsidRPr="00ED0785" w:rsidRDefault="009E52E1" w:rsidP="009E52E1">
            <w:pPr>
              <w:pStyle w:val="TableText"/>
            </w:pPr>
            <w:r w:rsidRPr="00ED0785">
              <w:t>5.0</w:t>
            </w:r>
            <w:r>
              <w:t>%</w:t>
            </w:r>
          </w:p>
        </w:tc>
      </w:tr>
      <w:tr w:rsidR="009E52E1" w:rsidRPr="00ED0785" w14:paraId="7FEF374F" w14:textId="77777777" w:rsidTr="009E52E1">
        <w:trPr>
          <w:jc w:val="center"/>
        </w:trPr>
        <w:tc>
          <w:tcPr>
            <w:tcW w:w="2222" w:type="dxa"/>
            <w:tcBorders>
              <w:left w:val="nil"/>
            </w:tcBorders>
            <w:shd w:val="clear" w:color="auto" w:fill="auto"/>
            <w:noWrap/>
            <w:vAlign w:val="bottom"/>
            <w:hideMark/>
          </w:tcPr>
          <w:p w14:paraId="29E7F67A" w14:textId="77777777" w:rsidR="009E52E1" w:rsidRPr="00ED0785" w:rsidRDefault="009E52E1" w:rsidP="009E52E1">
            <w:pPr>
              <w:pStyle w:val="TableText"/>
            </w:pPr>
            <w:r w:rsidRPr="00ED0785">
              <w:t>Napa County</w:t>
            </w:r>
          </w:p>
        </w:tc>
        <w:tc>
          <w:tcPr>
            <w:tcW w:w="1702" w:type="dxa"/>
            <w:shd w:val="clear" w:color="auto" w:fill="auto"/>
            <w:noWrap/>
            <w:vAlign w:val="bottom"/>
            <w:hideMark/>
          </w:tcPr>
          <w:p w14:paraId="42E77645" w14:textId="77777777" w:rsidR="009E52E1" w:rsidRPr="00ED0785" w:rsidRDefault="009E52E1" w:rsidP="009E52E1">
            <w:pPr>
              <w:pStyle w:val="TableText"/>
            </w:pPr>
            <w:r w:rsidRPr="00ED0785">
              <w:t>2,700</w:t>
            </w:r>
          </w:p>
        </w:tc>
        <w:tc>
          <w:tcPr>
            <w:tcW w:w="933" w:type="dxa"/>
            <w:tcBorders>
              <w:right w:val="single" w:sz="12" w:space="0" w:color="auto"/>
            </w:tcBorders>
            <w:shd w:val="clear" w:color="auto" w:fill="auto"/>
            <w:noWrap/>
            <w:vAlign w:val="bottom"/>
            <w:hideMark/>
          </w:tcPr>
          <w:p w14:paraId="44B107A3" w14:textId="1ADD9703" w:rsidR="009E52E1" w:rsidRPr="00ED0785" w:rsidRDefault="009E52E1" w:rsidP="009E52E1">
            <w:pPr>
              <w:pStyle w:val="TableText"/>
            </w:pPr>
            <w:r w:rsidRPr="00ED0785">
              <w:t>3.7</w:t>
            </w:r>
            <w:r>
              <w:t>%</w:t>
            </w:r>
          </w:p>
        </w:tc>
        <w:tc>
          <w:tcPr>
            <w:tcW w:w="2472" w:type="dxa"/>
            <w:tcBorders>
              <w:left w:val="single" w:sz="12" w:space="0" w:color="auto"/>
              <w:bottom w:val="single" w:sz="4" w:space="0" w:color="auto"/>
            </w:tcBorders>
            <w:shd w:val="clear" w:color="auto" w:fill="auto"/>
            <w:noWrap/>
            <w:vAlign w:val="bottom"/>
          </w:tcPr>
          <w:p w14:paraId="567ED87F" w14:textId="110C7D88" w:rsidR="009E52E1" w:rsidRPr="00ED0785" w:rsidRDefault="009E52E1" w:rsidP="009E52E1">
            <w:pPr>
              <w:pStyle w:val="TableText"/>
            </w:pPr>
            <w:r w:rsidRPr="00ED0785">
              <w:t>Yuba County</w:t>
            </w:r>
          </w:p>
        </w:tc>
        <w:tc>
          <w:tcPr>
            <w:tcW w:w="1818" w:type="dxa"/>
            <w:tcBorders>
              <w:bottom w:val="single" w:sz="4" w:space="0" w:color="auto"/>
            </w:tcBorders>
            <w:shd w:val="clear" w:color="auto" w:fill="auto"/>
            <w:noWrap/>
            <w:vAlign w:val="bottom"/>
          </w:tcPr>
          <w:p w14:paraId="5B4469A2" w14:textId="273895F0" w:rsidR="009E52E1" w:rsidRPr="00ED0785" w:rsidRDefault="009E52E1" w:rsidP="009E52E1">
            <w:pPr>
              <w:pStyle w:val="TableText"/>
            </w:pPr>
            <w:r w:rsidRPr="00ED0785">
              <w:t>2,100</w:t>
            </w:r>
          </w:p>
        </w:tc>
        <w:tc>
          <w:tcPr>
            <w:tcW w:w="933" w:type="dxa"/>
            <w:tcBorders>
              <w:bottom w:val="single" w:sz="4" w:space="0" w:color="auto"/>
              <w:right w:val="nil"/>
            </w:tcBorders>
            <w:shd w:val="clear" w:color="auto" w:fill="auto"/>
            <w:noWrap/>
            <w:vAlign w:val="bottom"/>
          </w:tcPr>
          <w:p w14:paraId="6A956276" w14:textId="40DCCF43" w:rsidR="009E52E1" w:rsidRPr="00ED0785" w:rsidRDefault="009E52E1" w:rsidP="009E52E1">
            <w:pPr>
              <w:pStyle w:val="TableText"/>
            </w:pPr>
            <w:r w:rsidRPr="00ED0785">
              <w:t>7.5</w:t>
            </w:r>
            <w:r>
              <w:t>%</w:t>
            </w:r>
          </w:p>
        </w:tc>
      </w:tr>
      <w:tr w:rsidR="009E52E1" w:rsidRPr="00ED0785" w14:paraId="563CCA2E" w14:textId="77777777" w:rsidTr="009E52E1">
        <w:trPr>
          <w:jc w:val="center"/>
        </w:trPr>
        <w:tc>
          <w:tcPr>
            <w:tcW w:w="2222" w:type="dxa"/>
            <w:tcBorders>
              <w:left w:val="nil"/>
            </w:tcBorders>
            <w:shd w:val="clear" w:color="auto" w:fill="auto"/>
            <w:noWrap/>
            <w:vAlign w:val="bottom"/>
          </w:tcPr>
          <w:p w14:paraId="222B3F83" w14:textId="451A5D79" w:rsidR="009E52E1" w:rsidRPr="00ED0785" w:rsidRDefault="009E52E1" w:rsidP="009E52E1">
            <w:pPr>
              <w:pStyle w:val="TableText"/>
            </w:pPr>
            <w:r w:rsidRPr="00ED0785">
              <w:t>Nevada County</w:t>
            </w:r>
          </w:p>
        </w:tc>
        <w:tc>
          <w:tcPr>
            <w:tcW w:w="1702" w:type="dxa"/>
            <w:shd w:val="clear" w:color="auto" w:fill="auto"/>
            <w:noWrap/>
            <w:vAlign w:val="bottom"/>
          </w:tcPr>
          <w:p w14:paraId="7030440D" w14:textId="1F80BA75" w:rsidR="009E52E1" w:rsidRPr="00ED0785" w:rsidRDefault="009E52E1" w:rsidP="009E52E1">
            <w:pPr>
              <w:pStyle w:val="TableText"/>
            </w:pPr>
            <w:r w:rsidRPr="00ED0785">
              <w:t>2,000</w:t>
            </w:r>
          </w:p>
        </w:tc>
        <w:tc>
          <w:tcPr>
            <w:tcW w:w="933" w:type="dxa"/>
            <w:tcBorders>
              <w:right w:val="single" w:sz="12" w:space="0" w:color="auto"/>
            </w:tcBorders>
            <w:shd w:val="clear" w:color="auto" w:fill="auto"/>
            <w:noWrap/>
            <w:vAlign w:val="bottom"/>
          </w:tcPr>
          <w:p w14:paraId="06AFA129" w14:textId="287DE9A1" w:rsidR="009E52E1" w:rsidRPr="00ED0785" w:rsidRDefault="009E52E1" w:rsidP="009E52E1">
            <w:pPr>
              <w:pStyle w:val="TableText"/>
            </w:pPr>
            <w:r w:rsidRPr="00ED0785">
              <w:t>4.1</w:t>
            </w:r>
            <w:r>
              <w:t>%</w:t>
            </w:r>
          </w:p>
        </w:tc>
        <w:tc>
          <w:tcPr>
            <w:tcW w:w="2472" w:type="dxa"/>
            <w:tcBorders>
              <w:left w:val="single" w:sz="12" w:space="0" w:color="auto"/>
              <w:right w:val="nil"/>
            </w:tcBorders>
            <w:shd w:val="clear" w:color="auto" w:fill="auto"/>
            <w:noWrap/>
            <w:vAlign w:val="bottom"/>
          </w:tcPr>
          <w:p w14:paraId="1AC64DE1" w14:textId="77777777" w:rsidR="009E52E1" w:rsidRPr="00ED0785" w:rsidRDefault="009E52E1" w:rsidP="009E52E1">
            <w:pPr>
              <w:pStyle w:val="TableText"/>
            </w:pPr>
          </w:p>
        </w:tc>
        <w:tc>
          <w:tcPr>
            <w:tcW w:w="1818" w:type="dxa"/>
            <w:tcBorders>
              <w:left w:val="nil"/>
              <w:right w:val="nil"/>
            </w:tcBorders>
            <w:shd w:val="clear" w:color="auto" w:fill="auto"/>
            <w:noWrap/>
            <w:vAlign w:val="bottom"/>
          </w:tcPr>
          <w:p w14:paraId="44A67C1E" w14:textId="77777777" w:rsidR="009E52E1" w:rsidRPr="00ED0785" w:rsidRDefault="009E52E1" w:rsidP="009E52E1">
            <w:pPr>
              <w:pStyle w:val="TableText"/>
            </w:pPr>
          </w:p>
        </w:tc>
        <w:tc>
          <w:tcPr>
            <w:tcW w:w="933" w:type="dxa"/>
            <w:tcBorders>
              <w:left w:val="nil"/>
              <w:right w:val="nil"/>
            </w:tcBorders>
            <w:shd w:val="clear" w:color="auto" w:fill="auto"/>
            <w:noWrap/>
            <w:vAlign w:val="bottom"/>
          </w:tcPr>
          <w:p w14:paraId="41F45A66" w14:textId="77777777" w:rsidR="009E52E1" w:rsidRPr="00ED0785" w:rsidRDefault="009E52E1" w:rsidP="009E52E1">
            <w:pPr>
              <w:pStyle w:val="TableText"/>
            </w:pPr>
          </w:p>
        </w:tc>
      </w:tr>
    </w:tbl>
    <w:p w14:paraId="1A474FC8" w14:textId="77777777" w:rsidR="00505F44" w:rsidRPr="00ED0785" w:rsidRDefault="00505F44" w:rsidP="009E52E1">
      <w:pPr>
        <w:pStyle w:val="TableSource"/>
        <w:rPr>
          <w:rFonts w:ascii="Times New Roman" w:hAnsi="Times New Roman" w:cs="Times New Roman"/>
        </w:rPr>
      </w:pPr>
      <w:r>
        <w:t>Source: EDD 2018</w:t>
      </w:r>
    </w:p>
    <w:p w14:paraId="3CE66E31" w14:textId="111315BA" w:rsidR="003E10E8" w:rsidRDefault="003E10E8" w:rsidP="003E10E8">
      <w:pPr>
        <w:pStyle w:val="Heading3"/>
      </w:pPr>
      <w:r>
        <w:t xml:space="preserve">Regulatory </w:t>
      </w:r>
      <w:r w:rsidR="00E2183C">
        <w:t>Setting</w:t>
      </w:r>
    </w:p>
    <w:p w14:paraId="24352CB5" w14:textId="0D4B11E1" w:rsidR="00365411" w:rsidRPr="00365411" w:rsidRDefault="00365411" w:rsidP="00365411">
      <w:pPr>
        <w:pStyle w:val="Heading4"/>
      </w:pPr>
      <w:r>
        <w:t>Land Use and Planning</w:t>
      </w:r>
    </w:p>
    <w:p w14:paraId="6F1E1847" w14:textId="4AE2F49B" w:rsidR="003E10E8" w:rsidRDefault="003E10E8" w:rsidP="00365411">
      <w:pPr>
        <w:pStyle w:val="Heading5"/>
      </w:pPr>
      <w:r>
        <w:t>Federal</w:t>
      </w:r>
    </w:p>
    <w:p w14:paraId="547F025D" w14:textId="78CEBB71" w:rsidR="00365411" w:rsidRPr="00FA5EF2" w:rsidRDefault="00484E9B" w:rsidP="00FA5EF2">
      <w:pPr>
        <w:pStyle w:val="BodyText"/>
      </w:pPr>
      <w:r w:rsidRPr="00484E9B">
        <w:t xml:space="preserve">No federal laws or regulations related to </w:t>
      </w:r>
      <w:r w:rsidR="00365411">
        <w:t xml:space="preserve">land use and planning </w:t>
      </w:r>
      <w:r w:rsidRPr="00484E9B">
        <w:t xml:space="preserve">are applicable to the project. </w:t>
      </w:r>
    </w:p>
    <w:p w14:paraId="48CEC82E" w14:textId="65BE66EA" w:rsidR="003E10E8" w:rsidRDefault="003E10E8" w:rsidP="00365411">
      <w:pPr>
        <w:pStyle w:val="Heading5"/>
      </w:pPr>
      <w:r w:rsidRPr="00C145FF">
        <w:t>State</w:t>
      </w:r>
    </w:p>
    <w:p w14:paraId="71F19DCE" w14:textId="70A3B926" w:rsidR="00BC1115" w:rsidRDefault="000E0671" w:rsidP="004B3A72">
      <w:pPr>
        <w:pStyle w:val="Heading6"/>
      </w:pPr>
      <w:r>
        <w:t xml:space="preserve">California </w:t>
      </w:r>
      <w:r w:rsidR="009F3F83">
        <w:t>State Parks</w:t>
      </w:r>
      <w:r>
        <w:t xml:space="preserve"> General Plans</w:t>
      </w:r>
    </w:p>
    <w:p w14:paraId="7CF3A54C" w14:textId="522B3653" w:rsidR="004B3A72" w:rsidRDefault="009F3F83" w:rsidP="00C2622F">
      <w:pPr>
        <w:pStyle w:val="BodyText"/>
      </w:pPr>
      <w:r>
        <w:t xml:space="preserve">A State Park </w:t>
      </w:r>
      <w:r w:rsidR="00653B33">
        <w:t xml:space="preserve">general plan is the primary management document for a </w:t>
      </w:r>
      <w:r w:rsidR="008E0058">
        <w:t xml:space="preserve">CSP </w:t>
      </w:r>
      <w:r w:rsidR="00653B33">
        <w:t>unit, defining a framework for resource stewardship, interpretation, facilities, visitor use, and operations. General plans define an ultimate purpose, vision, and intent for unit management through goal statements, guidelines, and broad objectives, but stop short of defining specific objectives, methodologies</w:t>
      </w:r>
      <w:r w:rsidR="00B667BD">
        <w:t>,</w:t>
      </w:r>
      <w:r w:rsidR="00653B33">
        <w:t xml:space="preserve"> designs, and timelines on how and when to accomplish these goals.</w:t>
      </w:r>
      <w:r w:rsidR="002618E1">
        <w:t xml:space="preserve"> </w:t>
      </w:r>
      <w:r w:rsidR="00207895">
        <w:t xml:space="preserve">The general plans also include </w:t>
      </w:r>
      <w:r w:rsidR="00C2622F">
        <w:t>guidelines</w:t>
      </w:r>
      <w:r w:rsidR="008F6C86">
        <w:t xml:space="preserve"> </w:t>
      </w:r>
      <w:r w:rsidR="00C2622F">
        <w:t>to address public safety issues</w:t>
      </w:r>
      <w:r w:rsidR="00207895">
        <w:t xml:space="preserve"> that are related to the issues and conditions that exist in each park unit</w:t>
      </w:r>
      <w:r w:rsidR="00C2622F">
        <w:t>.</w:t>
      </w:r>
      <w:r w:rsidR="00D44C76">
        <w:t xml:space="preserve"> Guidelines do not replicate </w:t>
      </w:r>
    </w:p>
    <w:p w14:paraId="4CD29925" w14:textId="5ECFF63A" w:rsidR="00226180" w:rsidRPr="004B3A72" w:rsidRDefault="00226180" w:rsidP="00832732">
      <w:pPr>
        <w:pStyle w:val="BodyText"/>
      </w:pPr>
      <w:r>
        <w:t>District Superintendents may develop or cause to be developed any number of management</w:t>
      </w:r>
      <w:r w:rsidR="0007138F">
        <w:t xml:space="preserve"> </w:t>
      </w:r>
      <w:r>
        <w:t xml:space="preserve">plans for units as needed or directed by the </w:t>
      </w:r>
      <w:r w:rsidR="008E0058">
        <w:t>g</w:t>
      </w:r>
      <w:r>
        <w:t xml:space="preserve">eneral </w:t>
      </w:r>
      <w:r w:rsidR="008E0058">
        <w:t>p</w:t>
      </w:r>
      <w:r>
        <w:t>lan for the unit. This includes,</w:t>
      </w:r>
      <w:r w:rsidR="0007138F">
        <w:t xml:space="preserve"> </w:t>
      </w:r>
      <w:r>
        <w:t>but is not limited to, wildfire management plans, area development plans,</w:t>
      </w:r>
      <w:r w:rsidR="0007138F">
        <w:t xml:space="preserve"> </w:t>
      </w:r>
      <w:r>
        <w:t>interpretation management plans, roads and trails plans, and vegetation management</w:t>
      </w:r>
      <w:r w:rsidR="0007138F">
        <w:t xml:space="preserve"> </w:t>
      </w:r>
      <w:r>
        <w:t>plans.</w:t>
      </w:r>
      <w:r w:rsidR="00832732">
        <w:t xml:space="preserve"> In developing goals and guidelines for a general plan, current </w:t>
      </w:r>
      <w:r w:rsidR="008E0058">
        <w:t xml:space="preserve">CSP </w:t>
      </w:r>
      <w:r w:rsidR="00832732">
        <w:t xml:space="preserve">policies that apply to units statewide are </w:t>
      </w:r>
      <w:r w:rsidR="00832732">
        <w:lastRenderedPageBreak/>
        <w:t>generally not included, other than to reference their source and application to future park management.</w:t>
      </w:r>
      <w:r w:rsidR="005F36BC">
        <w:t xml:space="preserve"> </w:t>
      </w:r>
      <w:r w:rsidR="00AF12F4" w:rsidRPr="00EA4D32">
        <w:t xml:space="preserve">For example, </w:t>
      </w:r>
      <w:r w:rsidR="008E0058">
        <w:t>CSP</w:t>
      </w:r>
      <w:r w:rsidR="008E0058" w:rsidRPr="00EA4D32">
        <w:t xml:space="preserve"> </w:t>
      </w:r>
      <w:r w:rsidR="005732F7" w:rsidRPr="00EA4D32">
        <w:t>Department Operations Manual includes</w:t>
      </w:r>
      <w:r w:rsidR="005732F7">
        <w:t xml:space="preserve"> </w:t>
      </w:r>
      <w:r w:rsidR="00EA4D32">
        <w:t xml:space="preserve">policies that guide the development and implementation of fire management programs in state parks, which involves </w:t>
      </w:r>
      <w:r w:rsidR="00EA4D32" w:rsidRPr="00EA4D32">
        <w:t>involve pre-fire planning, fuel (vegetation) management, public safety measures, fire control support, post-fire evaluation and rehabilitation</w:t>
      </w:r>
      <w:r w:rsidR="00EA4D32">
        <w:t>.</w:t>
      </w:r>
    </w:p>
    <w:p w14:paraId="632CADAB" w14:textId="55A485A0" w:rsidR="000E0671" w:rsidRDefault="002618E1" w:rsidP="004B3A72">
      <w:pPr>
        <w:pStyle w:val="Heading6"/>
        <w:rPr>
          <w:lang w:val="en"/>
        </w:rPr>
      </w:pPr>
      <w:r>
        <w:rPr>
          <w:lang w:val="en"/>
        </w:rPr>
        <w:t>California Department of Fish and Wildlife</w:t>
      </w:r>
      <w:r w:rsidR="000E0671">
        <w:rPr>
          <w:lang w:val="en"/>
        </w:rPr>
        <w:t xml:space="preserve"> Land Management Plans</w:t>
      </w:r>
    </w:p>
    <w:p w14:paraId="278FF989" w14:textId="4EF5B8DE" w:rsidR="00F47C9B" w:rsidRDefault="002F2C7E" w:rsidP="00F47C9B">
      <w:pPr>
        <w:pStyle w:val="BodyText"/>
        <w:rPr>
          <w:lang w:val="en"/>
        </w:rPr>
      </w:pPr>
      <w:r w:rsidRPr="00653B33">
        <w:rPr>
          <w:lang w:val="en"/>
        </w:rPr>
        <w:t xml:space="preserve">Per Section 1019 of the Fish and Game Code, </w:t>
      </w:r>
      <w:r>
        <w:rPr>
          <w:lang w:val="en"/>
        </w:rPr>
        <w:t>CDFW</w:t>
      </w:r>
      <w:r w:rsidRPr="00653B33">
        <w:rPr>
          <w:lang w:val="en"/>
        </w:rPr>
        <w:t xml:space="preserve"> must draft </w:t>
      </w:r>
      <w:bookmarkStart w:id="10" w:name="_Hlk8058968"/>
      <w:r w:rsidRPr="00653B33">
        <w:rPr>
          <w:lang w:val="en"/>
        </w:rPr>
        <w:t xml:space="preserve">Land Management Plans </w:t>
      </w:r>
      <w:r w:rsidR="00123CD0">
        <w:rPr>
          <w:lang w:val="en"/>
        </w:rPr>
        <w:t>(LMPs</w:t>
      </w:r>
      <w:bookmarkEnd w:id="10"/>
      <w:r w:rsidR="00123CD0">
        <w:rPr>
          <w:lang w:val="en"/>
        </w:rPr>
        <w:t xml:space="preserve">) </w:t>
      </w:r>
      <w:r w:rsidRPr="00653B33">
        <w:rPr>
          <w:lang w:val="en"/>
        </w:rPr>
        <w:t>for any property wholly under its jurisdiction</w:t>
      </w:r>
      <w:r w:rsidR="00481AC6">
        <w:rPr>
          <w:lang w:val="en"/>
        </w:rPr>
        <w:t xml:space="preserve">, such as </w:t>
      </w:r>
      <w:r w:rsidR="00123CD0">
        <w:rPr>
          <w:lang w:val="en"/>
        </w:rPr>
        <w:t>wildlife areas and ecological reserves</w:t>
      </w:r>
      <w:r>
        <w:rPr>
          <w:lang w:val="en"/>
        </w:rPr>
        <w:t>.</w:t>
      </w:r>
      <w:r w:rsidR="00123CD0">
        <w:rPr>
          <w:lang w:val="en"/>
        </w:rPr>
        <w:t xml:space="preserve"> </w:t>
      </w:r>
      <w:r w:rsidR="00CE3A98" w:rsidRPr="00CE3A98">
        <w:rPr>
          <w:lang w:val="en"/>
        </w:rPr>
        <w:t xml:space="preserve">LMPs </w:t>
      </w:r>
      <w:r w:rsidR="00123CD0">
        <w:rPr>
          <w:lang w:val="en"/>
        </w:rPr>
        <w:t>include</w:t>
      </w:r>
      <w:r w:rsidR="00F47C9B">
        <w:rPr>
          <w:lang w:val="en"/>
        </w:rPr>
        <w:t>:</w:t>
      </w:r>
      <w:r w:rsidR="00123CD0">
        <w:rPr>
          <w:lang w:val="en"/>
        </w:rPr>
        <w:t xml:space="preserve"> </w:t>
      </w:r>
    </w:p>
    <w:p w14:paraId="3CF0C36C" w14:textId="77777777" w:rsidR="00F446E4" w:rsidRDefault="00F47C9B" w:rsidP="00B80FED">
      <w:pPr>
        <w:pStyle w:val="Bullet1"/>
        <w:rPr>
          <w:lang w:val="en"/>
        </w:rPr>
      </w:pPr>
      <w:r>
        <w:rPr>
          <w:lang w:val="en"/>
        </w:rPr>
        <w:t>I</w:t>
      </w:r>
      <w:r w:rsidR="00123CD0">
        <w:rPr>
          <w:lang w:val="en"/>
        </w:rPr>
        <w:t>nventories</w:t>
      </w:r>
      <w:r w:rsidR="00CE3A98" w:rsidRPr="00CE3A98">
        <w:rPr>
          <w:lang w:val="en"/>
        </w:rPr>
        <w:t xml:space="preserve"> of fish, wildlife, and native plant habitats</w:t>
      </w:r>
      <w:r>
        <w:rPr>
          <w:lang w:val="en"/>
        </w:rPr>
        <w:t xml:space="preserve">; </w:t>
      </w:r>
    </w:p>
    <w:p w14:paraId="736A4E9F" w14:textId="3AB5638D" w:rsidR="00CE3A98" w:rsidRDefault="00F446E4" w:rsidP="00B80FED">
      <w:pPr>
        <w:pStyle w:val="Bullet1"/>
        <w:rPr>
          <w:lang w:val="en"/>
        </w:rPr>
      </w:pPr>
      <w:r>
        <w:rPr>
          <w:lang w:val="en"/>
        </w:rPr>
        <w:t xml:space="preserve">Guidance for </w:t>
      </w:r>
      <w:r w:rsidR="00F47C9B">
        <w:rPr>
          <w:lang w:val="en"/>
        </w:rPr>
        <w:t xml:space="preserve">management </w:t>
      </w:r>
      <w:r w:rsidR="00CE3A98" w:rsidRPr="00CE3A98">
        <w:rPr>
          <w:lang w:val="en"/>
        </w:rPr>
        <w:t>of habitats, species, and programs to protect and enhance native wildlife for their ecological value and enjoyment by the public</w:t>
      </w:r>
      <w:r>
        <w:rPr>
          <w:lang w:val="en"/>
        </w:rPr>
        <w:t>;</w:t>
      </w:r>
    </w:p>
    <w:p w14:paraId="50572518" w14:textId="11D943DF" w:rsidR="00CE3A98" w:rsidRPr="00CE3A98" w:rsidRDefault="00F446E4" w:rsidP="00B80FED">
      <w:pPr>
        <w:pStyle w:val="Bullet1"/>
        <w:rPr>
          <w:lang w:val="en"/>
        </w:rPr>
      </w:pPr>
      <w:r>
        <w:rPr>
          <w:lang w:val="en"/>
        </w:rPr>
        <w:t>Guidance for</w:t>
      </w:r>
      <w:r w:rsidR="00CE3A98" w:rsidRPr="00CE3A98">
        <w:rPr>
          <w:lang w:val="en"/>
        </w:rPr>
        <w:t xml:space="preserve"> public uses</w:t>
      </w:r>
      <w:r>
        <w:rPr>
          <w:lang w:val="en"/>
        </w:rPr>
        <w:t>;</w:t>
      </w:r>
    </w:p>
    <w:p w14:paraId="3A36E2F6" w14:textId="497CEAD0" w:rsidR="00CE3A98" w:rsidRPr="00CE3A98" w:rsidRDefault="0013256D" w:rsidP="00B80FED">
      <w:pPr>
        <w:pStyle w:val="Bullet1"/>
        <w:rPr>
          <w:lang w:val="en"/>
        </w:rPr>
      </w:pPr>
      <w:r>
        <w:rPr>
          <w:lang w:val="en"/>
        </w:rPr>
        <w:t>O</w:t>
      </w:r>
      <w:r w:rsidR="00CE3A98" w:rsidRPr="00CE3A98">
        <w:rPr>
          <w:lang w:val="en"/>
        </w:rPr>
        <w:t>peration, maintenance, and personnel requirements to implement management goals</w:t>
      </w:r>
      <w:r>
        <w:rPr>
          <w:lang w:val="en"/>
        </w:rPr>
        <w:t>;</w:t>
      </w:r>
      <w:r w:rsidR="00B80FED">
        <w:rPr>
          <w:lang w:val="en"/>
        </w:rPr>
        <w:t xml:space="preserve"> and</w:t>
      </w:r>
    </w:p>
    <w:p w14:paraId="282B0912" w14:textId="5AFD7F9F" w:rsidR="004B3A72" w:rsidRDefault="0013256D" w:rsidP="00B80FED">
      <w:pPr>
        <w:pStyle w:val="Bullet1"/>
        <w:rPr>
          <w:lang w:val="en"/>
        </w:rPr>
      </w:pPr>
      <w:r>
        <w:rPr>
          <w:lang w:val="en"/>
        </w:rPr>
        <w:t>E</w:t>
      </w:r>
      <w:r w:rsidR="00CE3A98" w:rsidRPr="00CE3A98">
        <w:rPr>
          <w:lang w:val="en"/>
        </w:rPr>
        <w:t>nvironmental documentation necessary for compliance with state and federal statutes and regulations</w:t>
      </w:r>
      <w:r w:rsidR="00B80FED">
        <w:rPr>
          <w:lang w:val="en"/>
        </w:rPr>
        <w:t>.</w:t>
      </w:r>
    </w:p>
    <w:p w14:paraId="6894374A" w14:textId="11EC3319" w:rsidR="00B1142D" w:rsidRPr="004B3A72" w:rsidRDefault="00550BB8" w:rsidP="00CE3A98">
      <w:pPr>
        <w:pStyle w:val="BodyText"/>
        <w:rPr>
          <w:lang w:val="en"/>
        </w:rPr>
      </w:pPr>
      <w:r w:rsidRPr="00291DCF">
        <w:rPr>
          <w:lang w:val="en"/>
        </w:rPr>
        <w:t xml:space="preserve">Individual LMPs may also include </w:t>
      </w:r>
      <w:r w:rsidR="00FF21DE" w:rsidRPr="00291DCF">
        <w:rPr>
          <w:lang w:val="en"/>
        </w:rPr>
        <w:t xml:space="preserve">goals related to </w:t>
      </w:r>
      <w:r w:rsidR="00496009" w:rsidRPr="00291DCF">
        <w:rPr>
          <w:lang w:val="en"/>
        </w:rPr>
        <w:t>wildfire management</w:t>
      </w:r>
      <w:r w:rsidR="00E92686" w:rsidRPr="00291DCF">
        <w:rPr>
          <w:lang w:val="en"/>
        </w:rPr>
        <w:t xml:space="preserve"> and coordination with CAL FIRE and other fire protection agencies</w:t>
      </w:r>
      <w:r w:rsidR="00496009" w:rsidRPr="00291DCF">
        <w:rPr>
          <w:lang w:val="en"/>
        </w:rPr>
        <w:t>.</w:t>
      </w:r>
    </w:p>
    <w:p w14:paraId="422D742E" w14:textId="73266587" w:rsidR="000E0671" w:rsidRDefault="000E0671" w:rsidP="004B3A72">
      <w:pPr>
        <w:pStyle w:val="Heading6"/>
        <w:rPr>
          <w:lang w:val="en"/>
        </w:rPr>
      </w:pPr>
      <w:r w:rsidRPr="000E0671">
        <w:rPr>
          <w:lang w:val="en"/>
        </w:rPr>
        <w:t>California Coastal Act</w:t>
      </w:r>
    </w:p>
    <w:p w14:paraId="0FD50983" w14:textId="32C9D152" w:rsidR="000E0671" w:rsidRDefault="000E0671" w:rsidP="00FE5F66">
      <w:pPr>
        <w:pStyle w:val="BodyText"/>
        <w:rPr>
          <w:lang w:val="en"/>
        </w:rPr>
      </w:pPr>
      <w:r w:rsidRPr="002618E1">
        <w:rPr>
          <w:lang w:val="en"/>
        </w:rPr>
        <w:t xml:space="preserve">The Coastal Act </w:t>
      </w:r>
      <w:r w:rsidR="008E6299">
        <w:rPr>
          <w:lang w:val="en"/>
        </w:rPr>
        <w:t>(</w:t>
      </w:r>
      <w:r w:rsidR="00DA4E20">
        <w:rPr>
          <w:lang w:val="en"/>
        </w:rPr>
        <w:t xml:space="preserve">PRC Section 30000 et seq.) </w:t>
      </w:r>
      <w:r w:rsidRPr="00B04F34">
        <w:rPr>
          <w:lang w:val="en"/>
        </w:rPr>
        <w:t>includes specific policies that</w:t>
      </w:r>
      <w:r w:rsidRPr="002618E1">
        <w:rPr>
          <w:lang w:val="en"/>
        </w:rPr>
        <w:t xml:space="preserve"> address issues </w:t>
      </w:r>
      <w:r w:rsidR="00A30E35" w:rsidRPr="00505F44">
        <w:rPr>
          <w:u w:val="single"/>
          <w:lang w:val="en"/>
        </w:rPr>
        <w:t xml:space="preserve">relating to specified coastal resources </w:t>
      </w:r>
      <w:r w:rsidRPr="002618E1">
        <w:rPr>
          <w:lang w:val="en"/>
        </w:rPr>
        <w:t xml:space="preserve">such as shoreline public access and recreation, lower cost visitor accommodations, terrestrial and marine habitat protection, visual resources, landform alteration, agricultural lands, commercial fisheries, water quality, transportation, development design, and public works. The Coastal Commission partners with local municipalities, such as </w:t>
      </w:r>
      <w:r w:rsidR="00EE7075" w:rsidRPr="002618E1">
        <w:rPr>
          <w:lang w:val="en"/>
        </w:rPr>
        <w:t>such as cities and counties</w:t>
      </w:r>
      <w:r w:rsidRPr="002618E1">
        <w:rPr>
          <w:lang w:val="en"/>
        </w:rPr>
        <w:t xml:space="preserve">, to plan and regulate </w:t>
      </w:r>
      <w:r w:rsidRPr="00505F44">
        <w:rPr>
          <w:strike/>
          <w:lang w:val="en"/>
        </w:rPr>
        <w:t xml:space="preserve">the use of land and </w:t>
      </w:r>
      <w:proofErr w:type="spellStart"/>
      <w:r w:rsidRPr="00505F44">
        <w:rPr>
          <w:strike/>
          <w:lang w:val="en"/>
        </w:rPr>
        <w:t>water</w:t>
      </w:r>
      <w:r w:rsidR="00655445" w:rsidRPr="00505F44">
        <w:rPr>
          <w:u w:val="single"/>
          <w:lang w:val="en"/>
        </w:rPr>
        <w:t>development</w:t>
      </w:r>
      <w:proofErr w:type="spellEnd"/>
      <w:r w:rsidR="00655445" w:rsidRPr="00505F44">
        <w:rPr>
          <w:u w:val="single"/>
          <w:lang w:val="en"/>
        </w:rPr>
        <w:t xml:space="preserve"> and to protect coastal resources with</w:t>
      </w:r>
      <w:r w:rsidRPr="002618E1">
        <w:rPr>
          <w:lang w:val="en"/>
        </w:rPr>
        <w:t>in the coastal zone</w:t>
      </w:r>
      <w:r w:rsidRPr="00506CC6">
        <w:rPr>
          <w:lang w:val="en"/>
        </w:rPr>
        <w:t xml:space="preserve">. Development </w:t>
      </w:r>
      <w:r w:rsidR="008C4696" w:rsidRPr="00506CC6">
        <w:rPr>
          <w:lang w:val="en"/>
        </w:rPr>
        <w:t xml:space="preserve">within </w:t>
      </w:r>
      <w:r w:rsidRPr="00506CC6">
        <w:rPr>
          <w:lang w:val="en"/>
        </w:rPr>
        <w:t xml:space="preserve">the coastal zone would require a coastal </w:t>
      </w:r>
      <w:r w:rsidR="00655445" w:rsidRPr="00505F44">
        <w:rPr>
          <w:u w:val="single"/>
          <w:lang w:val="en"/>
        </w:rPr>
        <w:t xml:space="preserve">development </w:t>
      </w:r>
      <w:r w:rsidRPr="00506CC6">
        <w:rPr>
          <w:lang w:val="en"/>
        </w:rPr>
        <w:t xml:space="preserve">permit from the Coastal Commission or </w:t>
      </w:r>
      <w:r w:rsidR="008C4696" w:rsidRPr="00506CC6">
        <w:rPr>
          <w:lang w:val="en"/>
        </w:rPr>
        <w:t xml:space="preserve">from </w:t>
      </w:r>
      <w:proofErr w:type="spellStart"/>
      <w:r w:rsidR="008C4696" w:rsidRPr="00505F44">
        <w:rPr>
          <w:strike/>
          <w:lang w:val="en"/>
        </w:rPr>
        <w:t>the</w:t>
      </w:r>
      <w:r w:rsidR="00655445" w:rsidRPr="00505F44">
        <w:rPr>
          <w:u w:val="single"/>
          <w:lang w:val="en"/>
        </w:rPr>
        <w:t>a</w:t>
      </w:r>
      <w:proofErr w:type="spellEnd"/>
      <w:r w:rsidR="008C4696" w:rsidRPr="00506CC6">
        <w:rPr>
          <w:lang w:val="en"/>
        </w:rPr>
        <w:t xml:space="preserve"> local</w:t>
      </w:r>
      <w:r w:rsidR="008C4696">
        <w:rPr>
          <w:lang w:val="en"/>
        </w:rPr>
        <w:t xml:space="preserve"> jurisdiction if the activity is within </w:t>
      </w:r>
      <w:proofErr w:type="gramStart"/>
      <w:r w:rsidR="003F4646">
        <w:rPr>
          <w:lang w:val="en"/>
        </w:rPr>
        <w:t>a</w:t>
      </w:r>
      <w:r w:rsidR="003F4646" w:rsidRPr="00505F44">
        <w:rPr>
          <w:strike/>
          <w:lang w:val="en"/>
        </w:rPr>
        <w:t>n</w:t>
      </w:r>
      <w:proofErr w:type="gramEnd"/>
      <w:r w:rsidR="003F4646">
        <w:rPr>
          <w:lang w:val="en"/>
        </w:rPr>
        <w:t xml:space="preserve"> </w:t>
      </w:r>
      <w:r w:rsidR="00655445" w:rsidRPr="00505F44">
        <w:rPr>
          <w:u w:val="single"/>
          <w:lang w:val="en"/>
        </w:rPr>
        <w:t xml:space="preserve">jurisdiction with a certified </w:t>
      </w:r>
      <w:r w:rsidR="003F4646">
        <w:rPr>
          <w:lang w:val="en"/>
        </w:rPr>
        <w:t>LCP</w:t>
      </w:r>
      <w:r w:rsidR="00D13449">
        <w:rPr>
          <w:lang w:val="en"/>
        </w:rPr>
        <w:t>.</w:t>
      </w:r>
      <w:r w:rsidR="005E4A56">
        <w:rPr>
          <w:lang w:val="en"/>
        </w:rPr>
        <w:t xml:space="preserve"> </w:t>
      </w:r>
      <w:r w:rsidR="001D3666">
        <w:rPr>
          <w:lang w:val="en"/>
        </w:rPr>
        <w:t>“</w:t>
      </w:r>
      <w:r w:rsidR="000A7D65">
        <w:rPr>
          <w:lang w:val="en"/>
        </w:rPr>
        <w:t>Developmen</w:t>
      </w:r>
      <w:r w:rsidR="00B71146">
        <w:rPr>
          <w:lang w:val="en"/>
        </w:rPr>
        <w:t>t</w:t>
      </w:r>
      <w:r w:rsidR="001D3666">
        <w:rPr>
          <w:lang w:val="en"/>
        </w:rPr>
        <w:t>”</w:t>
      </w:r>
      <w:r w:rsidR="00B71146">
        <w:rPr>
          <w:lang w:val="en"/>
        </w:rPr>
        <w:t xml:space="preserve"> is defined by the</w:t>
      </w:r>
      <w:r w:rsidR="00BD02C3">
        <w:rPr>
          <w:lang w:val="en"/>
        </w:rPr>
        <w:t xml:space="preserve"> Coastal Act</w:t>
      </w:r>
      <w:r w:rsidR="00B71146">
        <w:rPr>
          <w:lang w:val="en"/>
        </w:rPr>
        <w:t xml:space="preserve"> (</w:t>
      </w:r>
      <w:r w:rsidR="00E96D88">
        <w:rPr>
          <w:lang w:val="en"/>
        </w:rPr>
        <w:t xml:space="preserve">PRC </w:t>
      </w:r>
      <w:r w:rsidR="00B71146">
        <w:rPr>
          <w:lang w:val="en"/>
        </w:rPr>
        <w:t xml:space="preserve">Section </w:t>
      </w:r>
      <w:r w:rsidR="00E96D88">
        <w:rPr>
          <w:lang w:val="en"/>
        </w:rPr>
        <w:t>30106)</w:t>
      </w:r>
      <w:r w:rsidR="00B71146">
        <w:rPr>
          <w:lang w:val="en"/>
        </w:rPr>
        <w:t xml:space="preserve"> as follows:</w:t>
      </w:r>
      <w:r w:rsidR="00BD02C3">
        <w:rPr>
          <w:lang w:val="en"/>
        </w:rPr>
        <w:t xml:space="preserve"> </w:t>
      </w:r>
    </w:p>
    <w:p w14:paraId="4782452C" w14:textId="78C07469" w:rsidR="00BD02C3" w:rsidRPr="00166393" w:rsidRDefault="001D3666" w:rsidP="00166393">
      <w:pPr>
        <w:pStyle w:val="BodyText"/>
        <w:ind w:left="720"/>
        <w:rPr>
          <w:lang w:val="en"/>
        </w:rPr>
      </w:pPr>
      <w:r>
        <w:rPr>
          <w:lang w:val="en"/>
        </w:rPr>
        <w:t>“</w:t>
      </w:r>
      <w:r w:rsidR="00BD02C3" w:rsidRPr="00166393">
        <w:rPr>
          <w:lang w:val="en"/>
        </w:rPr>
        <w:t>Development</w:t>
      </w:r>
      <w:r>
        <w:rPr>
          <w:lang w:val="en"/>
        </w:rPr>
        <w:t>”</w:t>
      </w:r>
      <w:r w:rsidR="00BD02C3" w:rsidRPr="00166393">
        <w:rPr>
          <w:lang w:val="en"/>
        </w:rPr>
        <w:t xml:space="preserve"> means, on land, in or under water, the placement or erection of any solid material or structure; discharge or disposal of any dredged material or of any gaseous, liquid, solid, or thermal waste; grading, removing, dredging, mining, or extraction of any materials; change in the density or intensity of use of land, including, but not limited to, subdivision pursuant to the Subdivision Map Act (commencing with Section 66410 of the Government Code), and any other division of land, including lot splits, except where the land division is brought about in connection with the purchase of such land by a public agency for public recreational use; change in the intensity of use of water, or of access thereto; construction, reconstruction, demolition, or alteration of the size of any structure, including any facility of any private, public, or municipal utility; and the removal or harvesting of major vegetation other than for agricultural purposes, kelp harvesting, and timber operations which are in accordance with a timber harvesting plan submitted pursuant to the provisions of the </w:t>
      </w:r>
      <w:proofErr w:type="spellStart"/>
      <w:r w:rsidR="00BD02C3" w:rsidRPr="00166393">
        <w:rPr>
          <w:lang w:val="en"/>
        </w:rPr>
        <w:t>Z</w:t>
      </w:r>
      <w:r>
        <w:rPr>
          <w:lang w:val="en"/>
        </w:rPr>
        <w:t>’</w:t>
      </w:r>
      <w:r w:rsidR="00BD02C3" w:rsidRPr="00166393">
        <w:rPr>
          <w:lang w:val="en"/>
        </w:rPr>
        <w:t>berg-Nejedly</w:t>
      </w:r>
      <w:proofErr w:type="spellEnd"/>
      <w:r w:rsidR="00BD02C3" w:rsidRPr="00166393">
        <w:rPr>
          <w:lang w:val="en"/>
        </w:rPr>
        <w:t xml:space="preserve"> Forest Practice Act of 1973 (commencing with Section 4511).</w:t>
      </w:r>
    </w:p>
    <w:p w14:paraId="56F0EDC3" w14:textId="6565F403" w:rsidR="00506CC6" w:rsidRDefault="00BD02C3" w:rsidP="00166393">
      <w:pPr>
        <w:pStyle w:val="BodyText"/>
        <w:ind w:left="720"/>
        <w:rPr>
          <w:lang w:val="en"/>
        </w:rPr>
      </w:pPr>
      <w:r w:rsidRPr="00166393">
        <w:rPr>
          <w:lang w:val="en"/>
        </w:rPr>
        <w:t xml:space="preserve">As used in this section, </w:t>
      </w:r>
      <w:r w:rsidR="001D3666">
        <w:rPr>
          <w:lang w:val="en"/>
        </w:rPr>
        <w:t>“</w:t>
      </w:r>
      <w:r w:rsidRPr="00166393">
        <w:rPr>
          <w:lang w:val="en"/>
        </w:rPr>
        <w:t>structure</w:t>
      </w:r>
      <w:r w:rsidR="001D3666">
        <w:rPr>
          <w:lang w:val="en"/>
        </w:rPr>
        <w:t>”</w:t>
      </w:r>
      <w:r w:rsidRPr="00166393">
        <w:rPr>
          <w:lang w:val="en"/>
        </w:rPr>
        <w:t xml:space="preserve"> includes, but is not limited to, any building, road, pipe, flume, conduit, siphon, aqueduct, telephone line, and electrical power transmission and distribution line.</w:t>
      </w:r>
    </w:p>
    <w:p w14:paraId="1A9B7EB9" w14:textId="523A5952" w:rsidR="00B1142D" w:rsidRPr="002618E1" w:rsidRDefault="00886AED" w:rsidP="00FE5F66">
      <w:pPr>
        <w:pStyle w:val="BodyText"/>
        <w:rPr>
          <w:lang w:val="en"/>
        </w:rPr>
      </w:pPr>
      <w:bookmarkStart w:id="11" w:name="_Hlk20566192"/>
      <w:r w:rsidRPr="00505F44">
        <w:rPr>
          <w:u w:val="single"/>
        </w:rPr>
        <w:t>All treatment projects in the Coastal Zone that qualify as “development” under the definition presented in PRC Section 30106 would require a coastal development permit (CDP) pursuant to the Coastal Act.</w:t>
      </w:r>
      <w:bookmarkEnd w:id="11"/>
      <w:r w:rsidR="001B741E" w:rsidRPr="00505F44">
        <w:rPr>
          <w:strike/>
          <w:lang w:val="en"/>
        </w:rPr>
        <w:t>According to Coastal Commission staff, t</w:t>
      </w:r>
      <w:r w:rsidR="00E56378" w:rsidRPr="00505F44">
        <w:rPr>
          <w:strike/>
          <w:lang w:val="en"/>
        </w:rPr>
        <w:t xml:space="preserve">he </w:t>
      </w:r>
      <w:r w:rsidR="00166393" w:rsidRPr="00505F44">
        <w:rPr>
          <w:strike/>
          <w:lang w:val="en"/>
        </w:rPr>
        <w:t xml:space="preserve">CalVTP treatment activities are considered development </w:t>
      </w:r>
      <w:r w:rsidR="009A5AFA" w:rsidRPr="00505F44">
        <w:rPr>
          <w:strike/>
          <w:lang w:val="en"/>
        </w:rPr>
        <w:t xml:space="preserve">under the Coastal Act and would be required to obtain a coastal </w:t>
      </w:r>
      <w:r w:rsidR="00C6205A" w:rsidRPr="00505F44">
        <w:rPr>
          <w:strike/>
          <w:lang w:val="en"/>
        </w:rPr>
        <w:t xml:space="preserve">development </w:t>
      </w:r>
      <w:r w:rsidR="009A5AFA" w:rsidRPr="00505F44">
        <w:rPr>
          <w:strike/>
          <w:lang w:val="en"/>
        </w:rPr>
        <w:t xml:space="preserve">permit for </w:t>
      </w:r>
      <w:r w:rsidR="00FB41B3" w:rsidRPr="00505F44">
        <w:rPr>
          <w:strike/>
          <w:lang w:val="en"/>
        </w:rPr>
        <w:t>any future activities that would occur within the coastal zone.</w:t>
      </w:r>
    </w:p>
    <w:p w14:paraId="1AA29180" w14:textId="2E49D2B6" w:rsidR="007F4581" w:rsidRDefault="007F4581" w:rsidP="00365411">
      <w:pPr>
        <w:pStyle w:val="Heading5"/>
      </w:pPr>
      <w:bookmarkStart w:id="12" w:name="_Toc330915509"/>
      <w:bookmarkStart w:id="13" w:name="_Toc321483590"/>
      <w:r w:rsidRPr="00C145FF">
        <w:t>Local</w:t>
      </w:r>
      <w:bookmarkEnd w:id="12"/>
    </w:p>
    <w:p w14:paraId="612568E8" w14:textId="57CA841E" w:rsidR="00A2788B" w:rsidRPr="00A2788B" w:rsidRDefault="00A2788B" w:rsidP="00A2788B">
      <w:pPr>
        <w:pStyle w:val="BodyText"/>
      </w:pPr>
      <w:r w:rsidRPr="00A2788B">
        <w:t xml:space="preserve">When state agencies, including CAL FIRE, are conducting </w:t>
      </w:r>
      <w:r w:rsidR="00B2115B">
        <w:t xml:space="preserve">governmental </w:t>
      </w:r>
      <w:r w:rsidRPr="00A2788B">
        <w:t>activities under the authority of state law or the State Constitution</w:t>
      </w:r>
      <w:r w:rsidR="00815AF9">
        <w:t>,</w:t>
      </w:r>
      <w:r w:rsidR="00815AF9" w:rsidRPr="00815AF9">
        <w:t xml:space="preserve"> in this case, treatments implemented under the proposed</w:t>
      </w:r>
      <w:r w:rsidR="00815AF9">
        <w:t xml:space="preserve"> CalVTP</w:t>
      </w:r>
      <w:r w:rsidRPr="00A2788B">
        <w:t xml:space="preserve">, they are </w:t>
      </w:r>
      <w:r w:rsidR="00815AF9">
        <w:t>exempt from</w:t>
      </w:r>
      <w:r w:rsidRPr="00A2788B">
        <w:t xml:space="preserve"> local </w:t>
      </w:r>
      <w:r w:rsidRPr="00A2788B">
        <w:lastRenderedPageBreak/>
        <w:t xml:space="preserve">government plans, policies, and ordinances (unless </w:t>
      </w:r>
      <w:r w:rsidR="00815AF9" w:rsidRPr="009F3F83">
        <w:t xml:space="preserve">a constitutional provision or statute </w:t>
      </w:r>
      <w:r w:rsidR="00556ACC" w:rsidRPr="009F3F83">
        <w:t>directs</w:t>
      </w:r>
      <w:r w:rsidR="00815AF9" w:rsidRPr="009F3F83">
        <w:t xml:space="preserve"> otherwise</w:t>
      </w:r>
      <w:r w:rsidR="00815AF9">
        <w:rPr>
          <w:u w:val="single"/>
        </w:rPr>
        <w:t>)</w:t>
      </w:r>
      <w:r w:rsidRPr="00A2788B">
        <w:t>. Nonetheless, CAL FIRE voluntarily seeks to operate consistently with local governance to the extent feasible. Given its statewide extent and the possible number of local and regional responsible agencies, this PEIR does not identify potentially applicable local government plan</w:t>
      </w:r>
      <w:r w:rsidR="00556ACC">
        <w:t>s</w:t>
      </w:r>
      <w:r w:rsidRPr="00A2788B">
        <w:t>, polic</w:t>
      </w:r>
      <w:r w:rsidR="00556ACC">
        <w:t>ies</w:t>
      </w:r>
      <w:r w:rsidRPr="00A2788B">
        <w:t>, and ordinance</w:t>
      </w:r>
      <w:r w:rsidR="00556ACC">
        <w:t>s</w:t>
      </w:r>
      <w:r w:rsidRPr="00A2788B">
        <w:t xml:space="preserve">. </w:t>
      </w:r>
      <w:r w:rsidR="00CF43F1" w:rsidRPr="00DA2B8D">
        <w:t xml:space="preserve">Types of local regulations relevant to </w:t>
      </w:r>
      <w:r w:rsidR="00CF43F1">
        <w:t xml:space="preserve">land use and planning </w:t>
      </w:r>
      <w:r w:rsidR="00815AF9">
        <w:t xml:space="preserve">include general plans and local coastal programs, which </w:t>
      </w:r>
      <w:r w:rsidR="00CF43F1">
        <w:t>are described below</w:t>
      </w:r>
      <w:r w:rsidR="00CF43F1" w:rsidRPr="00DA2B8D">
        <w:t xml:space="preserve">. </w:t>
      </w:r>
      <w:r w:rsidRPr="00A2788B">
        <w:t>This PEIR assumes that any vegetation treatments proposed by local or regional agencies under the CalVTP would be consistent with local plans, policies, and ordinances, as required by SPR AD-</w:t>
      </w:r>
      <w:r w:rsidR="00EB1525">
        <w:t>3</w:t>
      </w:r>
      <w:r w:rsidRPr="00A2788B">
        <w:t>.</w:t>
      </w:r>
    </w:p>
    <w:p w14:paraId="1C05991C" w14:textId="63C01893" w:rsidR="006F2295" w:rsidRDefault="009F3F83" w:rsidP="000E0671">
      <w:pPr>
        <w:pStyle w:val="Heading6"/>
      </w:pPr>
      <w:r>
        <w:t xml:space="preserve">City and County </w:t>
      </w:r>
      <w:r w:rsidR="000E0671">
        <w:t>General Plans</w:t>
      </w:r>
    </w:p>
    <w:p w14:paraId="66D9BC37" w14:textId="74D9313F" w:rsidR="00B769A7" w:rsidRPr="00254257" w:rsidRDefault="00833820" w:rsidP="00833820">
      <w:pPr>
        <w:pStyle w:val="BodyText"/>
      </w:pPr>
      <w:r>
        <w:t>California Government Code (Gov</w:t>
      </w:r>
      <w:r w:rsidR="001C2E90">
        <w:t>ernment</w:t>
      </w:r>
      <w:r>
        <w:t xml:space="preserve"> Code) </w:t>
      </w:r>
      <w:r w:rsidR="00AE05BC">
        <w:t>S</w:t>
      </w:r>
      <w:r>
        <w:t xml:space="preserve">ection 65300 et seq. establishes the obligation of cities and counties to adopt and implement </w:t>
      </w:r>
      <w:r w:rsidR="006919BA">
        <w:t>g</w:t>
      </w:r>
      <w:r>
        <w:t xml:space="preserve">eneral </w:t>
      </w:r>
      <w:r w:rsidR="006919BA">
        <w:t>p</w:t>
      </w:r>
      <w:r>
        <w:t xml:space="preserve">lans. A </w:t>
      </w:r>
      <w:r w:rsidR="006919BA">
        <w:t>g</w:t>
      </w:r>
      <w:r>
        <w:t xml:space="preserve">eneral </w:t>
      </w:r>
      <w:r w:rsidR="006919BA">
        <w:t>p</w:t>
      </w:r>
      <w:r>
        <w:t>lan is a comprehensive, long-term document that describes plans for the physical development of a city or county and of any land outside its boundaries that, in the city</w:t>
      </w:r>
      <w:r w:rsidR="001D3666">
        <w:t>’</w:t>
      </w:r>
      <w:r>
        <w:t>s or county</w:t>
      </w:r>
      <w:r w:rsidR="001D3666">
        <w:t>’</w:t>
      </w:r>
      <w:r>
        <w:t xml:space="preserve">s judgment, bears relation to its planning. A </w:t>
      </w:r>
      <w:r w:rsidR="00E633DC">
        <w:t>g</w:t>
      </w:r>
      <w:r>
        <w:t xml:space="preserve">eneral </w:t>
      </w:r>
      <w:r w:rsidR="00E633DC">
        <w:t>p</w:t>
      </w:r>
      <w:r>
        <w:t>lan addresses a broad range of topics, including, at a minimum, land use, circulation, housing, conservation, open space, noise, and safety</w:t>
      </w:r>
      <w:r w:rsidR="008B75E4">
        <w:t xml:space="preserve"> (and, going forward, environmental justice)</w:t>
      </w:r>
      <w:r>
        <w:t xml:space="preserve">. In addressing these topics, a </w:t>
      </w:r>
      <w:r w:rsidR="00E633DC">
        <w:t>g</w:t>
      </w:r>
      <w:r>
        <w:t xml:space="preserve">eneral </w:t>
      </w:r>
      <w:r w:rsidR="00E633DC">
        <w:t>p</w:t>
      </w:r>
      <w:r>
        <w:t xml:space="preserve">lan </w:t>
      </w:r>
      <w:r w:rsidR="008B75E4">
        <w:t xml:space="preserve">typically </w:t>
      </w:r>
      <w:r>
        <w:t>identifies the goals, objectives, policies, principles, standards, and plan proposals that support the city</w:t>
      </w:r>
      <w:r w:rsidR="001D3666">
        <w:t>’</w:t>
      </w:r>
      <w:r>
        <w:t>s or county</w:t>
      </w:r>
      <w:r w:rsidR="001D3666">
        <w:t>’</w:t>
      </w:r>
      <w:r>
        <w:t xml:space="preserve">s vision for the area. A </w:t>
      </w:r>
      <w:r w:rsidR="00E633DC">
        <w:t>g</w:t>
      </w:r>
      <w:r>
        <w:t xml:space="preserve">eneral </w:t>
      </w:r>
      <w:r w:rsidR="00E633DC">
        <w:t>p</w:t>
      </w:r>
      <w:r>
        <w:t>lan is a long-range document that typically addresses the land use, development policies, and desired resource characteristics of a jurisdiction over a 20-year period or longer</w:t>
      </w:r>
      <w:r w:rsidR="008B75E4">
        <w:t xml:space="preserve"> (though housing elements must be updated every eight years)</w:t>
      </w:r>
      <w:r>
        <w:t>.</w:t>
      </w:r>
      <w:r w:rsidR="00D274FD">
        <w:t xml:space="preserve"> General </w:t>
      </w:r>
      <w:r w:rsidR="00E633DC">
        <w:t>p</w:t>
      </w:r>
      <w:r w:rsidR="00D274FD">
        <w:t>lans are required to include a safety element</w:t>
      </w:r>
      <w:r w:rsidR="00474318">
        <w:t xml:space="preserve"> for the protection of the community from a </w:t>
      </w:r>
      <w:r w:rsidR="00474318" w:rsidRPr="00254257">
        <w:t>number of risks, including wildland fires.</w:t>
      </w:r>
    </w:p>
    <w:p w14:paraId="1124ED1C" w14:textId="0B0A4D55" w:rsidR="00892112" w:rsidRDefault="00FE70DC" w:rsidP="00833820">
      <w:pPr>
        <w:pStyle w:val="BodyText"/>
      </w:pPr>
      <w:r w:rsidRPr="00254257">
        <w:t>S</w:t>
      </w:r>
      <w:r w:rsidR="00FF06F5" w:rsidRPr="00254257">
        <w:t xml:space="preserve">enate </w:t>
      </w:r>
      <w:r w:rsidRPr="00254257">
        <w:t>B</w:t>
      </w:r>
      <w:r w:rsidR="00FF06F5" w:rsidRPr="00254257">
        <w:t>ill</w:t>
      </w:r>
      <w:r w:rsidRPr="00254257">
        <w:t xml:space="preserve"> 379</w:t>
      </w:r>
      <w:r w:rsidR="00FF06F5" w:rsidRPr="00254257">
        <w:t>, Statutes of</w:t>
      </w:r>
      <w:r w:rsidRPr="00254257">
        <w:t xml:space="preserve"> </w:t>
      </w:r>
      <w:r w:rsidR="00FF06F5" w:rsidRPr="00254257">
        <w:t xml:space="preserve">2015, </w:t>
      </w:r>
      <w:r w:rsidRPr="00254257">
        <w:t xml:space="preserve">added </w:t>
      </w:r>
      <w:r w:rsidR="00FF06F5" w:rsidRPr="00254257">
        <w:t xml:space="preserve">a </w:t>
      </w:r>
      <w:r w:rsidRPr="00254257">
        <w:t xml:space="preserve">requirement for </w:t>
      </w:r>
      <w:r w:rsidR="00FF06F5" w:rsidRPr="00254257">
        <w:t xml:space="preserve">safety elements of </w:t>
      </w:r>
      <w:r w:rsidRPr="00254257">
        <w:t>general plans to address climate adaptation and resiliency. On or after January 1, 2017, or beginning on January 1, 2022 for jurisdictions that have not yet adopted a local hazard mitigation plan, the safety element shall address climate adaptation and resiliency strategies, which includes how climate change may affect risks related to wildfires</w:t>
      </w:r>
      <w:r w:rsidR="006F41DE" w:rsidRPr="00254257">
        <w:t xml:space="preserve">. These requirements are included in Government Code </w:t>
      </w:r>
      <w:r w:rsidR="00FF06F5" w:rsidRPr="00254257">
        <w:t>Section 65302</w:t>
      </w:r>
      <w:r w:rsidR="006F41DE" w:rsidRPr="00254257">
        <w:t>(</w:t>
      </w:r>
      <w:r w:rsidR="00FF06F5" w:rsidRPr="00254257">
        <w:t>g</w:t>
      </w:r>
      <w:r w:rsidR="006F41DE" w:rsidRPr="00254257">
        <w:t>)(4)</w:t>
      </w:r>
      <w:r w:rsidRPr="00254257">
        <w:t xml:space="preserve">. </w:t>
      </w:r>
      <w:r w:rsidR="00254257" w:rsidRPr="00254257">
        <w:t xml:space="preserve">A vulnerability assessment must be prepared that identifies the risks that climate change poses to the local jurisdiction, including how climate change may affect risks related to wildfire. </w:t>
      </w:r>
      <w:r w:rsidRPr="00254257">
        <w:t xml:space="preserve">The safety element </w:t>
      </w:r>
      <w:r w:rsidR="00254257" w:rsidRPr="00254257">
        <w:t>must also</w:t>
      </w:r>
      <w:r w:rsidRPr="00254257">
        <w:t xml:space="preserve"> include a set of adaptation and resilience goals, policies, objectives</w:t>
      </w:r>
      <w:r w:rsidR="00FF06F5" w:rsidRPr="00254257">
        <w:t>, and implementation measures that are developed for the protection of the community related to climate change risks</w:t>
      </w:r>
      <w:r w:rsidR="00254257" w:rsidRPr="00254257">
        <w:t>, such as increased</w:t>
      </w:r>
      <w:r w:rsidR="00254257">
        <w:t xml:space="preserve"> risk of wildfire exacerbated by climate change</w:t>
      </w:r>
      <w:r w:rsidR="00FF06F5">
        <w:t>.</w:t>
      </w:r>
    </w:p>
    <w:p w14:paraId="2B563CFD" w14:textId="1B21D566" w:rsidR="00833820" w:rsidRDefault="00833820" w:rsidP="00833820">
      <w:pPr>
        <w:pStyle w:val="BodyText"/>
      </w:pPr>
      <w:r>
        <w:t xml:space="preserve">The </w:t>
      </w:r>
      <w:r w:rsidR="001A0E08">
        <w:t xml:space="preserve">Planning and </w:t>
      </w:r>
      <w:r>
        <w:t>Zoning Law (</w:t>
      </w:r>
      <w:r w:rsidR="001A0E08">
        <w:t>Chapter 4 of Division 1 [</w:t>
      </w:r>
      <w:r w:rsidR="001D3666">
        <w:t>“</w:t>
      </w:r>
      <w:r w:rsidR="001A0E08">
        <w:t>Planning and Zoning Law</w:t>
      </w:r>
      <w:r w:rsidR="001D3666">
        <w:t>”</w:t>
      </w:r>
      <w:r w:rsidR="001A0E08">
        <w:t>] of Title 7 [</w:t>
      </w:r>
      <w:r w:rsidR="001D3666">
        <w:t>“</w:t>
      </w:r>
      <w:r w:rsidR="001A0E08">
        <w:t>Planning and Land Use</w:t>
      </w:r>
      <w:r w:rsidR="001D3666">
        <w:t>”</w:t>
      </w:r>
      <w:r w:rsidR="001A0E08">
        <w:t>] of the Government Code</w:t>
      </w:r>
      <w:r>
        <w:t xml:space="preserve">) establishes that zoning ordinances, which are laws that define allowable land uses in a specific zone district, are </w:t>
      </w:r>
      <w:r w:rsidR="007C05EC">
        <w:t xml:space="preserve">generally </w:t>
      </w:r>
      <w:r>
        <w:t xml:space="preserve">required to be consistent with the applicable </w:t>
      </w:r>
      <w:r w:rsidR="00E633DC">
        <w:t>g</w:t>
      </w:r>
      <w:r>
        <w:t xml:space="preserve">eneral </w:t>
      </w:r>
      <w:r w:rsidR="00E633DC">
        <w:t>p</w:t>
      </w:r>
      <w:r>
        <w:t>lan and any applicable specific plans.</w:t>
      </w:r>
      <w:r w:rsidR="00681A8C">
        <w:t xml:space="preserve"> Zoning ordinances</w:t>
      </w:r>
      <w:r w:rsidR="00F65A8D">
        <w:t xml:space="preserve"> generally</w:t>
      </w:r>
      <w:r w:rsidR="00681A8C">
        <w:t xml:space="preserve"> also</w:t>
      </w:r>
      <w:r w:rsidR="00A47B99">
        <w:t xml:space="preserve"> set forth standards for development of land, </w:t>
      </w:r>
      <w:r w:rsidR="00F65A8D">
        <w:t xml:space="preserve">use of hazardous materials, </w:t>
      </w:r>
      <w:r w:rsidR="004F31F5">
        <w:t xml:space="preserve">and </w:t>
      </w:r>
      <w:r w:rsidR="00F65A8D">
        <w:t>noise generation</w:t>
      </w:r>
      <w:r w:rsidR="004F31F5">
        <w:t>.</w:t>
      </w:r>
      <w:r w:rsidR="007C05EC">
        <w:t xml:space="preserve"> </w:t>
      </w:r>
    </w:p>
    <w:p w14:paraId="4E0C4DB9" w14:textId="3098785D" w:rsidR="000E0671" w:rsidRDefault="00833820" w:rsidP="00833820">
      <w:pPr>
        <w:pStyle w:val="BodyText"/>
      </w:pPr>
      <w:r>
        <w:t xml:space="preserve">The </w:t>
      </w:r>
      <w:r w:rsidR="00FA53FC">
        <w:t>treatable landscape</w:t>
      </w:r>
      <w:r>
        <w:t xml:space="preserve"> covers </w:t>
      </w:r>
      <w:r w:rsidR="00FA53FC">
        <w:t xml:space="preserve">land owned by </w:t>
      </w:r>
      <w:r w:rsidR="00B76385">
        <w:t>local jurisdictions, special districts,</w:t>
      </w:r>
      <w:r w:rsidR="00EA0DBF">
        <w:t xml:space="preserve"> non-profit-organizations, and</w:t>
      </w:r>
      <w:r w:rsidR="00B76385">
        <w:t xml:space="preserve"> private landowners in </w:t>
      </w:r>
      <w:r>
        <w:t xml:space="preserve">multiple counties with multiple cities. Each of these counties and cities has local regulations and </w:t>
      </w:r>
      <w:r w:rsidR="00E633DC">
        <w:t>g</w:t>
      </w:r>
      <w:r>
        <w:t xml:space="preserve">eneral </w:t>
      </w:r>
      <w:r w:rsidR="00E633DC">
        <w:t>p</w:t>
      </w:r>
      <w:r>
        <w:t>lans with unique goals and policies related to land use and planning.</w:t>
      </w:r>
    </w:p>
    <w:p w14:paraId="07EE2BAB" w14:textId="144DB7B3" w:rsidR="000E0671" w:rsidRDefault="000E0671" w:rsidP="002232A9">
      <w:pPr>
        <w:pStyle w:val="Heading6"/>
      </w:pPr>
      <w:r>
        <w:t>Local Coastal P</w:t>
      </w:r>
      <w:r w:rsidR="00ED41F6">
        <w:t>rogram</w:t>
      </w:r>
      <w:r w:rsidR="00C96136">
        <w:t>s</w:t>
      </w:r>
    </w:p>
    <w:p w14:paraId="62E30EFD" w14:textId="552E36DD" w:rsidR="00EE7075" w:rsidRDefault="003C709D" w:rsidP="00785B96">
      <w:pPr>
        <w:pStyle w:val="BodyText"/>
      </w:pPr>
      <w:r>
        <w:t>LCPs</w:t>
      </w:r>
      <w:r w:rsidR="00ED41F6">
        <w:t xml:space="preserve"> </w:t>
      </w:r>
      <w:r w:rsidR="00047BA1">
        <w:t>are developed by local governments</w:t>
      </w:r>
      <w:r w:rsidR="00655445" w:rsidRPr="00FF3897">
        <w:rPr>
          <w:u w:val="single"/>
        </w:rPr>
        <w:t>, approved by the Coastal Commission,</w:t>
      </w:r>
      <w:r w:rsidR="00047BA1">
        <w:t xml:space="preserve"> and </w:t>
      </w:r>
      <w:r w:rsidR="00EE7075" w:rsidRPr="00E0390B">
        <w:t xml:space="preserve">set forth goals, objectives, and policies that govern </w:t>
      </w:r>
      <w:r w:rsidR="00EE7075" w:rsidRPr="00FF3897">
        <w:rPr>
          <w:strike/>
        </w:rPr>
        <w:t xml:space="preserve">the use of land and </w:t>
      </w:r>
      <w:proofErr w:type="spellStart"/>
      <w:r w:rsidR="00EE7075" w:rsidRPr="00FF3897">
        <w:rPr>
          <w:strike/>
        </w:rPr>
        <w:t>water</w:t>
      </w:r>
      <w:r w:rsidR="00655445" w:rsidRPr="00FF3897">
        <w:rPr>
          <w:u w:val="single"/>
        </w:rPr>
        <w:t>proposed</w:t>
      </w:r>
      <w:proofErr w:type="spellEnd"/>
      <w:r w:rsidR="00655445" w:rsidRPr="00FF3897">
        <w:rPr>
          <w:u w:val="single"/>
        </w:rPr>
        <w:t xml:space="preserve"> development and protect coastal resources</w:t>
      </w:r>
      <w:r w:rsidR="00EE7075" w:rsidRPr="00E0390B">
        <w:t xml:space="preserve"> </w:t>
      </w:r>
      <w:r w:rsidR="00655445" w:rsidRPr="00FF3897">
        <w:rPr>
          <w:u w:val="single"/>
        </w:rPr>
        <w:t>with</w:t>
      </w:r>
      <w:r w:rsidR="00EE7075" w:rsidRPr="001C0482">
        <w:t xml:space="preserve">in </w:t>
      </w:r>
      <w:r w:rsidR="00F31630" w:rsidRPr="001C0482">
        <w:t xml:space="preserve">the coastal zone </w:t>
      </w:r>
      <w:r w:rsidR="00EE7075" w:rsidRPr="001C0482">
        <w:t>consistent</w:t>
      </w:r>
      <w:r w:rsidR="00EE7075" w:rsidRPr="00E0390B">
        <w:t xml:space="preserve"> with Chapter 3 of the California Coastal Act of </w:t>
      </w:r>
      <w:r w:rsidR="001A0E08">
        <w:t>1976</w:t>
      </w:r>
      <w:r w:rsidR="00EE7075" w:rsidRPr="00E0390B">
        <w:t xml:space="preserve">. </w:t>
      </w:r>
      <w:r w:rsidR="00F07C72">
        <w:t>LCPs contain</w:t>
      </w:r>
      <w:r w:rsidR="00EE7075" w:rsidRPr="00E0390B">
        <w:t xml:space="preserve"> coastal resources planning and management policies that address public access, recreation, marine environment, land resources, development, and industrial development. </w:t>
      </w:r>
      <w:r w:rsidR="00F9278A">
        <w:t>They must also address coastal hazards, including minimizing risks to life and property in areas of high fire hazards, by providing for solutions that have the least impacts on coastal resources.</w:t>
      </w:r>
    </w:p>
    <w:p w14:paraId="599231BD" w14:textId="2FA0EC93" w:rsidR="000B04A7" w:rsidRDefault="000B04A7" w:rsidP="00785B96">
      <w:pPr>
        <w:pStyle w:val="BodyText"/>
      </w:pPr>
      <w:r w:rsidRPr="000B04A7">
        <w:t>LCPs specify appropriate location, type, and scale of new or changed uses of land and water</w:t>
      </w:r>
      <w:r w:rsidR="00655445" w:rsidRPr="00FF3897">
        <w:rPr>
          <w:u w:val="single"/>
        </w:rPr>
        <w:t>, similar to general plans and zoning codes outside of the coastal zone</w:t>
      </w:r>
      <w:r w:rsidRPr="000B04A7">
        <w:t xml:space="preserve">. Each LCP includes a land use plan </w:t>
      </w:r>
      <w:r w:rsidR="00655445" w:rsidRPr="00FF3897">
        <w:rPr>
          <w:u w:val="single"/>
        </w:rPr>
        <w:t xml:space="preserve">element </w:t>
      </w:r>
      <w:r w:rsidRPr="000B04A7">
        <w:t xml:space="preserve">and </w:t>
      </w:r>
      <w:r w:rsidR="00655445" w:rsidRPr="00FF3897">
        <w:rPr>
          <w:u w:val="single"/>
        </w:rPr>
        <w:t xml:space="preserve">implementing </w:t>
      </w:r>
      <w:r w:rsidRPr="000B04A7">
        <w:t xml:space="preserve">measures to </w:t>
      </w:r>
      <w:r w:rsidRPr="00FF3897">
        <w:rPr>
          <w:strike/>
        </w:rPr>
        <w:t>implement the plan (such as zoning ordinances)</w:t>
      </w:r>
      <w:r w:rsidR="00655445" w:rsidRPr="00FF3897">
        <w:rPr>
          <w:u w:val="single"/>
        </w:rPr>
        <w:t>provide more specific standards to implement Land Use Plan policies</w:t>
      </w:r>
      <w:r w:rsidRPr="000B04A7">
        <w:t>. Prepared by local government</w:t>
      </w:r>
      <w:r w:rsidR="00655445" w:rsidRPr="00FF3897">
        <w:rPr>
          <w:u w:val="single"/>
        </w:rPr>
        <w:t>s and approved by the Coastal Commission</w:t>
      </w:r>
      <w:r w:rsidRPr="00FF3897">
        <w:rPr>
          <w:u w:val="single"/>
        </w:rPr>
        <w:t>,</w:t>
      </w:r>
      <w:r w:rsidRPr="000B04A7">
        <w:t xml:space="preserve"> these programs </w:t>
      </w:r>
      <w:r w:rsidRPr="00FF3897">
        <w:rPr>
          <w:strike/>
        </w:rPr>
        <w:t xml:space="preserve">govern </w:t>
      </w:r>
      <w:r w:rsidRPr="00FF3897">
        <w:rPr>
          <w:strike/>
        </w:rPr>
        <w:lastRenderedPageBreak/>
        <w:t xml:space="preserve">decisions that determine the short- and long-term conservation and use of coastal </w:t>
      </w:r>
      <w:proofErr w:type="spellStart"/>
      <w:r w:rsidRPr="00FF3897">
        <w:rPr>
          <w:strike/>
        </w:rPr>
        <w:t>resources</w:t>
      </w:r>
      <w:r w:rsidR="00655445" w:rsidRPr="00FF3897">
        <w:rPr>
          <w:u w:val="single"/>
        </w:rPr>
        <w:t>allow</w:t>
      </w:r>
      <w:proofErr w:type="spellEnd"/>
      <w:r w:rsidR="00655445" w:rsidRPr="00FF3897">
        <w:rPr>
          <w:u w:val="single"/>
        </w:rPr>
        <w:t xml:space="preserve"> local governments to carry out locally-developed programs which can be found consistent with the Coastal Act</w:t>
      </w:r>
      <w:r w:rsidRPr="000B04A7">
        <w:t>.</w:t>
      </w:r>
    </w:p>
    <w:p w14:paraId="4010545B" w14:textId="7EF9D9C6" w:rsidR="00FD1FA4" w:rsidRDefault="00FD1FA4" w:rsidP="00785B96">
      <w:pPr>
        <w:pStyle w:val="BodyText"/>
      </w:pPr>
      <w:r w:rsidRPr="00FD1FA4">
        <w:t>After an LCP has been finally approved</w:t>
      </w:r>
      <w:r w:rsidR="00655445" w:rsidRPr="00FF3897">
        <w:rPr>
          <w:u w:val="single"/>
        </w:rPr>
        <w:t xml:space="preserve"> by the Coastal Commission</w:t>
      </w:r>
      <w:r w:rsidRPr="00FD1FA4">
        <w:t>, the Commission</w:t>
      </w:r>
      <w:r w:rsidR="001D3666">
        <w:t>’</w:t>
      </w:r>
      <w:r w:rsidRPr="00FD1FA4">
        <w:t xml:space="preserve">s coastal </w:t>
      </w:r>
      <w:r w:rsidR="00655445" w:rsidRPr="00FF3897">
        <w:rPr>
          <w:u w:val="single"/>
        </w:rPr>
        <w:t xml:space="preserve">development </w:t>
      </w:r>
      <w:r w:rsidRPr="00FD1FA4">
        <w:t xml:space="preserve">permitting authority over </w:t>
      </w:r>
      <w:r w:rsidRPr="00FF3897">
        <w:rPr>
          <w:strike/>
        </w:rPr>
        <w:t xml:space="preserve">most </w:t>
      </w:r>
      <w:r w:rsidRPr="00FD1FA4">
        <w:t xml:space="preserve">new development </w:t>
      </w:r>
      <w:r w:rsidR="00655445" w:rsidRPr="00FF3897">
        <w:rPr>
          <w:u w:val="single"/>
        </w:rPr>
        <w:t xml:space="preserve">within that jurisdiction </w:t>
      </w:r>
      <w:r w:rsidRPr="00FD1FA4">
        <w:t>is transferred to the local government, which applies the requirements of the LCP in reviewing proposed new developments. The</w:t>
      </w:r>
      <w:r w:rsidR="00BE5A33">
        <w:t xml:space="preserve"> Coastal</w:t>
      </w:r>
      <w:r w:rsidRPr="00FD1FA4">
        <w:t xml:space="preserve"> Commission retains permanent coastal </w:t>
      </w:r>
      <w:r w:rsidR="00655445" w:rsidRPr="00FF3897">
        <w:rPr>
          <w:u w:val="single"/>
        </w:rPr>
        <w:t xml:space="preserve">development </w:t>
      </w:r>
      <w:r w:rsidRPr="00FD1FA4">
        <w:t>permit</w:t>
      </w:r>
      <w:r w:rsidR="00655445" w:rsidRPr="00FF3897">
        <w:rPr>
          <w:u w:val="single"/>
        </w:rPr>
        <w:t>ting</w:t>
      </w:r>
      <w:r w:rsidRPr="00FD1FA4">
        <w:t xml:space="preserve"> jurisdiction over development proposed on tidelands, submerged lands, and public trust lands</w:t>
      </w:r>
      <w:r w:rsidR="00D33BAD">
        <w:t>. T</w:t>
      </w:r>
      <w:r w:rsidRPr="00FD1FA4">
        <w:t xml:space="preserve">he </w:t>
      </w:r>
      <w:r w:rsidR="00D33BAD">
        <w:t xml:space="preserve">Coastal </w:t>
      </w:r>
      <w:r w:rsidRPr="00FD1FA4">
        <w:t xml:space="preserve">Commission also </w:t>
      </w:r>
      <w:r w:rsidRPr="00FF3897">
        <w:rPr>
          <w:strike/>
        </w:rPr>
        <w:t xml:space="preserve">acts </w:t>
      </w:r>
      <w:proofErr w:type="spellStart"/>
      <w:r w:rsidRPr="00FF3897">
        <w:rPr>
          <w:strike/>
        </w:rPr>
        <w:t>on</w:t>
      </w:r>
      <w:r w:rsidR="00655445" w:rsidRPr="00FF3897">
        <w:rPr>
          <w:u w:val="single"/>
        </w:rPr>
        <w:t>considers</w:t>
      </w:r>
      <w:proofErr w:type="spellEnd"/>
      <w:r w:rsidRPr="00FD1FA4">
        <w:t xml:space="preserve"> appeals from certain local government coastal </w:t>
      </w:r>
      <w:r w:rsidR="00655445" w:rsidRPr="00FF3897">
        <w:rPr>
          <w:u w:val="single"/>
        </w:rPr>
        <w:t xml:space="preserve">development </w:t>
      </w:r>
      <w:r w:rsidRPr="00FD1FA4">
        <w:t>permit decisions</w:t>
      </w:r>
      <w:r w:rsidR="003513B4" w:rsidRPr="00FF3897">
        <w:rPr>
          <w:strike/>
        </w:rPr>
        <w:t>, such as approvals of Coastal Development Permits</w:t>
      </w:r>
      <w:r w:rsidRPr="00FD1FA4">
        <w:t>.</w:t>
      </w:r>
    </w:p>
    <w:p w14:paraId="4FA7967B" w14:textId="76D73FA9" w:rsidR="00365411" w:rsidRDefault="00365411" w:rsidP="00365411">
      <w:pPr>
        <w:pStyle w:val="Heading4"/>
      </w:pPr>
      <w:r>
        <w:t>Population and Housing</w:t>
      </w:r>
    </w:p>
    <w:p w14:paraId="75A40E08" w14:textId="77777777" w:rsidR="00365411" w:rsidRDefault="00365411" w:rsidP="00365411">
      <w:pPr>
        <w:pStyle w:val="Heading5"/>
      </w:pPr>
      <w:r>
        <w:t>Federal</w:t>
      </w:r>
    </w:p>
    <w:p w14:paraId="31BB3D45" w14:textId="2DF9E094" w:rsidR="00365411" w:rsidRPr="00582457" w:rsidRDefault="00365411" w:rsidP="00582457">
      <w:pPr>
        <w:pStyle w:val="BodyText"/>
        <w:rPr>
          <w:rFonts w:cs="Segoe UI Semilight"/>
        </w:rPr>
      </w:pPr>
      <w:r w:rsidRPr="00582457">
        <w:rPr>
          <w:rFonts w:cs="Segoe UI Semilight"/>
        </w:rPr>
        <w:t xml:space="preserve">No federal laws or regulations related to population and housing are applicable to the project. </w:t>
      </w:r>
    </w:p>
    <w:p w14:paraId="772A5D59" w14:textId="77777777" w:rsidR="00365411" w:rsidRDefault="00365411" w:rsidP="00365411">
      <w:pPr>
        <w:pStyle w:val="Heading5"/>
      </w:pPr>
      <w:r w:rsidRPr="00C145FF">
        <w:t>State</w:t>
      </w:r>
    </w:p>
    <w:p w14:paraId="44B5769A" w14:textId="77777777" w:rsidR="00625281" w:rsidRDefault="00625281" w:rsidP="006D6096">
      <w:pPr>
        <w:pStyle w:val="Heading6"/>
      </w:pPr>
      <w:r>
        <w:t>California Housing Element Law</w:t>
      </w:r>
    </w:p>
    <w:p w14:paraId="2F4C2501" w14:textId="34F65718" w:rsidR="00365411" w:rsidRPr="00FE5F66" w:rsidRDefault="00625281" w:rsidP="00625281">
      <w:pPr>
        <w:pStyle w:val="BodyText"/>
        <w:rPr>
          <w:color w:val="444444"/>
          <w:sz w:val="18"/>
          <w:szCs w:val="18"/>
          <w:lang w:val="en"/>
        </w:rPr>
      </w:pPr>
      <w:r>
        <w:t xml:space="preserve">The </w:t>
      </w:r>
      <w:bookmarkStart w:id="14" w:name="_Hlk8058990"/>
      <w:r>
        <w:t>California Department of Housing and Community Development (HCD</w:t>
      </w:r>
      <w:bookmarkEnd w:id="14"/>
      <w:r w:rsidR="00D777DE">
        <w:t>)</w:t>
      </w:r>
      <w:r>
        <w:t xml:space="preserve"> implements the California Housing</w:t>
      </w:r>
      <w:r w:rsidR="006D6096">
        <w:t xml:space="preserve"> </w:t>
      </w:r>
      <w:r>
        <w:t>Element Law, enacted in 1969. HCD is responsible for reviewing local government housing elements</w:t>
      </w:r>
      <w:r w:rsidR="006D6096">
        <w:t xml:space="preserve"> </w:t>
      </w:r>
      <w:r>
        <w:t xml:space="preserve">for compliance with </w:t>
      </w:r>
      <w:r w:rsidR="00D777DE">
        <w:t>s</w:t>
      </w:r>
      <w:r>
        <w:t>tate law and providing written comments to local government</w:t>
      </w:r>
      <w:r w:rsidR="003513B4">
        <w:t>s</w:t>
      </w:r>
      <w:r>
        <w:t>. HCD determines the</w:t>
      </w:r>
      <w:r w:rsidR="006D6096">
        <w:t xml:space="preserve"> </w:t>
      </w:r>
      <w:r>
        <w:t>regional housing need for each county and allocates funding to meet this need to the council of government</w:t>
      </w:r>
      <w:r w:rsidR="006D6096">
        <w:t xml:space="preserve"> </w:t>
      </w:r>
      <w:r>
        <w:t>for distribution to its jurisdictions.</w:t>
      </w:r>
      <w:r w:rsidR="008A175F">
        <w:t xml:space="preserve"> The regional housing need </w:t>
      </w:r>
      <w:r w:rsidR="00C431EE">
        <w:t>is</w:t>
      </w:r>
      <w:r w:rsidR="008A175F">
        <w:t xml:space="preserve"> </w:t>
      </w:r>
      <w:r w:rsidR="00C431EE">
        <w:t>informed by population projections developed by the California Department of Finance. Other factors, including economic conditions and regional housing markets, are also considered in developing the regional housing needs.</w:t>
      </w:r>
      <w:r>
        <w:t xml:space="preserve"> HCD also oversees distribution of funding related to the</w:t>
      </w:r>
      <w:r w:rsidR="006D6096">
        <w:t xml:space="preserve"> </w:t>
      </w:r>
      <w:r>
        <w:t>regional housing need by the council of governments to the local governments to ensure that funds are</w:t>
      </w:r>
      <w:r w:rsidR="006D6096">
        <w:t xml:space="preserve"> </w:t>
      </w:r>
      <w:r>
        <w:t>appropriately allocated.</w:t>
      </w:r>
    </w:p>
    <w:p w14:paraId="17347301" w14:textId="77777777" w:rsidR="00365411" w:rsidRDefault="00365411" w:rsidP="00365411">
      <w:pPr>
        <w:pStyle w:val="Heading5"/>
      </w:pPr>
      <w:r w:rsidRPr="00C145FF">
        <w:t>Local</w:t>
      </w:r>
    </w:p>
    <w:p w14:paraId="76AB697E" w14:textId="70560C8A" w:rsidR="00FD15AA" w:rsidRDefault="007E3160" w:rsidP="00FD15AA">
      <w:pPr>
        <w:pStyle w:val="BodyText"/>
        <w:rPr>
          <w:rFonts w:cs="Segoe UI Semilight"/>
        </w:rPr>
      </w:pPr>
      <w:r>
        <w:rPr>
          <w:rFonts w:cs="Segoe UI Semilight"/>
        </w:rPr>
        <w:t>A description of the applicability of</w:t>
      </w:r>
      <w:r w:rsidR="00084150">
        <w:rPr>
          <w:rFonts w:cs="Segoe UI Semilight"/>
        </w:rPr>
        <w:t xml:space="preserve"> and compliance with local regulations for CalVTP is provided above under </w:t>
      </w:r>
      <w:r w:rsidR="001D3666">
        <w:rPr>
          <w:rFonts w:cs="Segoe UI Semilight"/>
        </w:rPr>
        <w:t>“</w:t>
      </w:r>
      <w:r w:rsidR="00084150">
        <w:rPr>
          <w:rFonts w:cs="Segoe UI Semilight"/>
        </w:rPr>
        <w:t>Land Use and Planning</w:t>
      </w:r>
      <w:r w:rsidR="001D3666">
        <w:rPr>
          <w:rFonts w:cs="Segoe UI Semilight"/>
        </w:rPr>
        <w:t>.”</w:t>
      </w:r>
    </w:p>
    <w:p w14:paraId="522CA675" w14:textId="4F4FAF12" w:rsidR="00365411" w:rsidRDefault="00FD15AA" w:rsidP="00FD15AA">
      <w:pPr>
        <w:pStyle w:val="BodyText"/>
      </w:pPr>
      <w:r w:rsidRPr="00FD15AA">
        <w:rPr>
          <w:rFonts w:cs="Segoe UI Semilight"/>
        </w:rPr>
        <w:t>The following describes only those regional governmental agencies with plans and policies pertaining to</w:t>
      </w:r>
      <w:r>
        <w:rPr>
          <w:rFonts w:cs="Segoe UI Semilight"/>
        </w:rPr>
        <w:t xml:space="preserve"> </w:t>
      </w:r>
      <w:r w:rsidRPr="00FD15AA">
        <w:rPr>
          <w:rFonts w:cs="Segoe UI Semilight"/>
        </w:rPr>
        <w:t xml:space="preserve">socioeconomic resources applicable to the </w:t>
      </w:r>
      <w:r w:rsidR="005C3BB1">
        <w:rPr>
          <w:rFonts w:cs="Segoe UI Semilight"/>
        </w:rPr>
        <w:t>areas within the treatable landscape</w:t>
      </w:r>
      <w:r w:rsidRPr="00FD15AA">
        <w:rPr>
          <w:rFonts w:cs="Segoe UI Semilight"/>
        </w:rPr>
        <w:t>.</w:t>
      </w:r>
    </w:p>
    <w:p w14:paraId="244B9115" w14:textId="24E61C9C" w:rsidR="00365411" w:rsidRDefault="0022557C" w:rsidP="000D418F">
      <w:pPr>
        <w:pStyle w:val="Heading6"/>
      </w:pPr>
      <w:r>
        <w:t>Councils of Government</w:t>
      </w:r>
    </w:p>
    <w:p w14:paraId="0A62C2DC" w14:textId="5FC2573E" w:rsidR="000D418F" w:rsidRDefault="0022557C" w:rsidP="00654EAA">
      <w:pPr>
        <w:pStyle w:val="BodyText"/>
      </w:pPr>
      <w:bookmarkStart w:id="15" w:name="_Hlk8059015"/>
      <w:r>
        <w:t>Councils of Government (COGs</w:t>
      </w:r>
      <w:bookmarkEnd w:id="15"/>
      <w:r>
        <w:t xml:space="preserve">) throughout the </w:t>
      </w:r>
      <w:r w:rsidR="004F721E">
        <w:t>s</w:t>
      </w:r>
      <w:r>
        <w:t xml:space="preserve">tate act as area-wide planning agencies, assisting local governments with multijurisdictional issues such as air quality, transportation, water quality, energy, land use, </w:t>
      </w:r>
      <w:r w:rsidR="008A6539">
        <w:t xml:space="preserve">greenhouse gases, </w:t>
      </w:r>
      <w:r>
        <w:t xml:space="preserve">and housing. </w:t>
      </w:r>
      <w:r w:rsidR="00440C8F">
        <w:t xml:space="preserve">COGs </w:t>
      </w:r>
      <w:r w:rsidR="00707274">
        <w:t xml:space="preserve">operate either under a joint powers authority </w:t>
      </w:r>
      <w:r w:rsidR="00707274" w:rsidRPr="00707274">
        <w:t xml:space="preserve">or </w:t>
      </w:r>
      <w:r w:rsidR="00707274">
        <w:t>a</w:t>
      </w:r>
      <w:r w:rsidR="00707274" w:rsidRPr="00707274">
        <w:t xml:space="preserve"> memorandum of understanding</w:t>
      </w:r>
      <w:r w:rsidR="00707274">
        <w:t xml:space="preserve"> with the </w:t>
      </w:r>
      <w:r w:rsidR="00654EAA">
        <w:t xml:space="preserve">member </w:t>
      </w:r>
      <w:r w:rsidR="00707274">
        <w:t xml:space="preserve">agencies </w:t>
      </w:r>
      <w:r w:rsidR="00654EAA">
        <w:t>and can conduct a range of duties</w:t>
      </w:r>
      <w:r w:rsidR="00707274">
        <w:t xml:space="preserve"> as directed by their member agencies,</w:t>
      </w:r>
      <w:r w:rsidR="00654EAA">
        <w:t xml:space="preserve"> including regional review of environmentally significant projects per CEQA; area</w:t>
      </w:r>
      <w:r w:rsidR="00707274">
        <w:t>-</w:t>
      </w:r>
      <w:r w:rsidR="00654EAA">
        <w:t xml:space="preserve">wide clearinghouse for review of </w:t>
      </w:r>
      <w:r w:rsidR="00707274">
        <w:t>f</w:t>
      </w:r>
      <w:r w:rsidR="00654EAA">
        <w:t>ederal financial assistance; regional housing needs assessment; modeling and programming; and general planning support and technical assistance</w:t>
      </w:r>
      <w:r w:rsidR="00440C8F" w:rsidRPr="00440C8F">
        <w:t xml:space="preserve">. Although many COGs are formed to focus on transportation planning and programming, some COGs </w:t>
      </w:r>
      <w:r w:rsidR="00EF3785">
        <w:t>are</w:t>
      </w:r>
      <w:r w:rsidR="00440C8F" w:rsidRPr="00440C8F">
        <w:t xml:space="preserve"> tasked by their local governments to address homelessness, water infrastructure, energy efficiency, earthquake safety, and more.</w:t>
      </w:r>
    </w:p>
    <w:p w14:paraId="2AE45175" w14:textId="4D84DE04" w:rsidR="0022557C" w:rsidRPr="009A1356" w:rsidRDefault="000D418F" w:rsidP="000D418F">
      <w:pPr>
        <w:pStyle w:val="BodyText"/>
        <w:rPr>
          <w:spacing w:val="-2"/>
        </w:rPr>
      </w:pPr>
      <w:r w:rsidRPr="009A1356">
        <w:rPr>
          <w:spacing w:val="-2"/>
        </w:rPr>
        <w:t>Under California housing law, the HCD is responsible for estimating the relative share of California</w:t>
      </w:r>
      <w:r w:rsidR="001D3666" w:rsidRPr="009A1356">
        <w:rPr>
          <w:spacing w:val="-2"/>
        </w:rPr>
        <w:t>’</w:t>
      </w:r>
      <w:r w:rsidRPr="009A1356">
        <w:rPr>
          <w:spacing w:val="-2"/>
        </w:rPr>
        <w:t xml:space="preserve">s projected population growth that will reside in each county in the </w:t>
      </w:r>
      <w:r w:rsidR="001D7272" w:rsidRPr="009A1356">
        <w:rPr>
          <w:spacing w:val="-2"/>
        </w:rPr>
        <w:t>s</w:t>
      </w:r>
      <w:r w:rsidRPr="009A1356">
        <w:rPr>
          <w:spacing w:val="-2"/>
        </w:rPr>
        <w:t xml:space="preserve">tate based on California Department of Finance population projections and historical growth trends. Based upon the projected growth in the number of households in each COG region, the HCD calculates the number of additional units needed during that period. In turn, each COG is required by </w:t>
      </w:r>
      <w:r w:rsidR="00D75F66" w:rsidRPr="009A1356">
        <w:rPr>
          <w:spacing w:val="-2"/>
        </w:rPr>
        <w:t>s</w:t>
      </w:r>
      <w:r w:rsidRPr="009A1356">
        <w:rPr>
          <w:spacing w:val="-2"/>
        </w:rPr>
        <w:t>tate law to determine the portion of funding for regional housing to be allocated to each jurisdiction within the region.</w:t>
      </w:r>
    </w:p>
    <w:p w14:paraId="24915360" w14:textId="77777777" w:rsidR="00831E93" w:rsidRDefault="00831E93" w:rsidP="00831E93">
      <w:pPr>
        <w:pStyle w:val="Heading6"/>
      </w:pPr>
      <w:r>
        <w:lastRenderedPageBreak/>
        <w:t>General Plan Housing Elements</w:t>
      </w:r>
    </w:p>
    <w:p w14:paraId="6954AC90" w14:textId="03E0B3F5" w:rsidR="00831E93" w:rsidRDefault="00831E93" w:rsidP="00831E93">
      <w:pPr>
        <w:pStyle w:val="BodyText"/>
      </w:pPr>
      <w:r>
        <w:t xml:space="preserve">In accordance with </w:t>
      </w:r>
      <w:r w:rsidR="00D75F66">
        <w:t>s</w:t>
      </w:r>
      <w:r>
        <w:t>tate law, each local municipality general plan</w:t>
      </w:r>
      <w:r w:rsidR="001D3666">
        <w:t>’</w:t>
      </w:r>
      <w:r>
        <w:t>s housing element must be consistent and compatible with other general plan elements. Additionally, housing elements must provide clear policy and direction for making decisions pertaining to zoning, subdivision approval, housing allocations, and capital improvements. State law (Government Code Sections 65580–65589.8) mandates the contents of housing elements. By law, a housing element must contain:</w:t>
      </w:r>
    </w:p>
    <w:p w14:paraId="211CE0C7" w14:textId="02469112" w:rsidR="00831E93" w:rsidRDefault="00831E93" w:rsidP="009A1356">
      <w:pPr>
        <w:pStyle w:val="Bullet1"/>
      </w:pPr>
      <w:r>
        <w:t>An assessment of housing needs and an inventory of resources and constraints relevant to meeting those needs (Government Code Section 65583(a)),</w:t>
      </w:r>
    </w:p>
    <w:p w14:paraId="3BA879C1" w14:textId="502E38AA" w:rsidR="00831E93" w:rsidRDefault="00831E93" w:rsidP="004F721E">
      <w:pPr>
        <w:pStyle w:val="Bullet1"/>
      </w:pPr>
      <w:r>
        <w:t>A statement of the community</w:t>
      </w:r>
      <w:r w:rsidR="001D3666">
        <w:t>’</w:t>
      </w:r>
      <w:r>
        <w:t>s goals, quantified objectives, and policies relevant to the maintenance,</w:t>
      </w:r>
      <w:r w:rsidR="00E80715">
        <w:t xml:space="preserve"> </w:t>
      </w:r>
      <w:r>
        <w:t>preservation, improvement, and development of housing (Government Code Section 65583(b)),</w:t>
      </w:r>
    </w:p>
    <w:p w14:paraId="6506A04D" w14:textId="789B305D" w:rsidR="009B7F94" w:rsidRDefault="00831E93" w:rsidP="004F721E">
      <w:pPr>
        <w:pStyle w:val="Bullet1"/>
      </w:pPr>
      <w:r>
        <w:t>A program which sets forth a schedule of actions during the planning period, each with a timeline for</w:t>
      </w:r>
      <w:r w:rsidR="00E80715">
        <w:t xml:space="preserve"> </w:t>
      </w:r>
      <w:r>
        <w:t>implementation, which the local government is undertaking or</w:t>
      </w:r>
      <w:r w:rsidR="00E80715">
        <w:t xml:space="preserve"> </w:t>
      </w:r>
      <w:r>
        <w:t>intends to undertake to implement the policies and achieve the goals and objectives of the housing</w:t>
      </w:r>
      <w:r w:rsidR="00E80715">
        <w:t xml:space="preserve"> </w:t>
      </w:r>
      <w:r>
        <w:t>element</w:t>
      </w:r>
      <w:r w:rsidR="009B7F94">
        <w:t>,</w:t>
      </w:r>
      <w:r>
        <w:t xml:space="preserve"> </w:t>
      </w:r>
      <w:r w:rsidR="009A294F">
        <w:t>and</w:t>
      </w:r>
    </w:p>
    <w:p w14:paraId="7FF25BAC" w14:textId="21334DD7" w:rsidR="00831E93" w:rsidRDefault="009B7F94" w:rsidP="004F721E">
      <w:pPr>
        <w:pStyle w:val="Bullet1"/>
      </w:pPr>
      <w:r>
        <w:t>The</w:t>
      </w:r>
      <w:r w:rsidR="00831E93">
        <w:t xml:space="preserve"> land use and development controls, regulatory</w:t>
      </w:r>
      <w:r w:rsidR="00E80715">
        <w:t xml:space="preserve"> </w:t>
      </w:r>
      <w:r w:rsidR="00831E93">
        <w:t>concessions and incentives, appropriate federal and state financing and subsidy programs, and low- and moderate-income housing fund of</w:t>
      </w:r>
      <w:r w:rsidR="00E80715">
        <w:t xml:space="preserve"> </w:t>
      </w:r>
      <w:r w:rsidR="009A294F">
        <w:t xml:space="preserve">the </w:t>
      </w:r>
      <w:r w:rsidR="00831E93">
        <w:t>agency if the locality has established a redevelopment project area pursuant to the Community</w:t>
      </w:r>
      <w:r w:rsidR="00E80715">
        <w:t xml:space="preserve"> </w:t>
      </w:r>
      <w:r w:rsidR="00831E93">
        <w:t xml:space="preserve">Redevelopment Law (Division 24 </w:t>
      </w:r>
      <w:r w:rsidR="009A294F">
        <w:t>[</w:t>
      </w:r>
      <w:r w:rsidR="00831E93">
        <w:t>commencing with Section 33000</w:t>
      </w:r>
      <w:r w:rsidR="009A294F">
        <w:t>]</w:t>
      </w:r>
      <w:r w:rsidR="00831E93">
        <w:t xml:space="preserve"> of the Health and Safety Code)</w:t>
      </w:r>
      <w:r>
        <w:t xml:space="preserve"> to support implementation of the programs identified in the housing element</w:t>
      </w:r>
      <w:r w:rsidR="00831E93">
        <w:t>.</w:t>
      </w:r>
      <w:r w:rsidR="00E80715">
        <w:t xml:space="preserve"> </w:t>
      </w:r>
      <w:r w:rsidR="00831E93">
        <w:t>(Government Code Section 65583(c).)</w:t>
      </w:r>
    </w:p>
    <w:p w14:paraId="0346D338" w14:textId="3FEA44A0" w:rsidR="000D418F" w:rsidRDefault="00831E93" w:rsidP="00831E93">
      <w:pPr>
        <w:pStyle w:val="BodyText"/>
      </w:pPr>
      <w:r>
        <w:t>A housing element must identify existing and projected housing needs and establish goals, policies, objectives,</w:t>
      </w:r>
      <w:r w:rsidR="00E80715">
        <w:t xml:space="preserve"> </w:t>
      </w:r>
      <w:r>
        <w:t>and programs for the preservation, improvement, and development of housing to meet the needs</w:t>
      </w:r>
      <w:r w:rsidR="00E80715">
        <w:t xml:space="preserve"> </w:t>
      </w:r>
      <w:r>
        <w:t>of all economic sectors of a community. Its purpose is to provide an assessment of both current and</w:t>
      </w:r>
      <w:r w:rsidR="00E80715">
        <w:t xml:space="preserve"> </w:t>
      </w:r>
      <w:r>
        <w:t>future housing needs and the constraints in meeting those needs; it must also provide a strategy to</w:t>
      </w:r>
      <w:r w:rsidR="00E80715">
        <w:t xml:space="preserve"> </w:t>
      </w:r>
      <w:r>
        <w:t>establish local housing goals and policies and set forth programs to accomplish those goals and policies.</w:t>
      </w:r>
    </w:p>
    <w:p w14:paraId="5E8748E5" w14:textId="708A4662" w:rsidR="006E5312" w:rsidRPr="00A119D7" w:rsidRDefault="006E5312" w:rsidP="00496ED1">
      <w:pPr>
        <w:pStyle w:val="Heading3"/>
      </w:pPr>
      <w:bookmarkStart w:id="16" w:name="_Toc384132818"/>
      <w:bookmarkEnd w:id="13"/>
      <w:r w:rsidRPr="00A119D7">
        <w:t>Impact</w:t>
      </w:r>
      <w:r w:rsidR="00DF2BED">
        <w:t xml:space="preserve"> </w:t>
      </w:r>
      <w:bookmarkEnd w:id="16"/>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3D1E7F79" w14:textId="0920BDAF" w:rsidR="00145251" w:rsidRDefault="000530D1" w:rsidP="001D75BA">
      <w:pPr>
        <w:pStyle w:val="BodyText"/>
      </w:pPr>
      <w:r>
        <w:t>The analysis of environmental impacts on land use and population focuses on the potential for the physical division of an established community; significant environmental impacts due to conflicts with a land use plan, policy, or regulation adopted for the purpose of avoiding or mitigating an environmental effect; inducing substantial unplanned population growth; and displacing substantial numbers of people or housing</w:t>
      </w:r>
      <w:r w:rsidRPr="002A348C">
        <w:t xml:space="preserve">. </w:t>
      </w:r>
      <w:r w:rsidR="00930734" w:rsidRPr="0029306C">
        <w:t xml:space="preserve">Qualitative methods were used to assess the impact of vegetation treatment activities </w:t>
      </w:r>
      <w:r w:rsidR="002D3A41" w:rsidRPr="00D80469">
        <w:t xml:space="preserve">related to </w:t>
      </w:r>
      <w:r w:rsidR="002D3A41">
        <w:t>land use and planning and population and housing</w:t>
      </w:r>
      <w:r w:rsidR="00930734" w:rsidRPr="0029306C">
        <w:t xml:space="preserve">. Potential impacts were assessed based on the activities, methods, and techniques </w:t>
      </w:r>
      <w:r w:rsidR="003573C4">
        <w:t>for implementing</w:t>
      </w:r>
      <w:r w:rsidR="00930734" w:rsidRPr="0029306C">
        <w:t xml:space="preserve"> </w:t>
      </w:r>
      <w:r w:rsidR="00930734" w:rsidRPr="0017150D">
        <w:t>the proposed CalVTP</w:t>
      </w:r>
      <w:r w:rsidR="00E231B4" w:rsidRPr="0017150D">
        <w:t>.</w:t>
      </w:r>
      <w:r w:rsidRPr="000530D1">
        <w:t xml:space="preserve"> </w:t>
      </w:r>
      <w:r>
        <w:t>S</w:t>
      </w:r>
      <w:r w:rsidRPr="00CA39F8">
        <w:t>ignificance</w:t>
      </w:r>
      <w:r>
        <w:t xml:space="preserve"> determinations account for the influence of relevant SPRs, which are incorporated into treatment design</w:t>
      </w:r>
      <w:r w:rsidR="00145251">
        <w:t xml:space="preserve"> and listed below</w:t>
      </w:r>
      <w:r>
        <w:t>.</w:t>
      </w:r>
    </w:p>
    <w:p w14:paraId="06FB0210" w14:textId="78D06C70" w:rsidR="001D75BA" w:rsidRPr="009A1356" w:rsidRDefault="00CE0C47" w:rsidP="002F4E07">
      <w:pPr>
        <w:pStyle w:val="Bullet1"/>
        <w:rPr>
          <w:spacing w:val="-2"/>
          <w:u w:val="single"/>
        </w:rPr>
      </w:pPr>
      <w:bookmarkStart w:id="17" w:name="_Hlk11157336"/>
      <w:r w:rsidRPr="009A1356">
        <w:rPr>
          <w:b/>
          <w:spacing w:val="-2"/>
        </w:rPr>
        <w:t>SPR AD-3 Consistency with Local Plans, Policies, and Ordinances</w:t>
      </w:r>
      <w:r w:rsidRPr="009A1356">
        <w:rPr>
          <w:spacing w:val="-2"/>
        </w:rPr>
        <w:t>: The project proponent will design and implement the treatment in a manner that is consistent with applicable local plans (e.g., general plans</w:t>
      </w:r>
      <w:r w:rsidRPr="009A1356">
        <w:rPr>
          <w:spacing w:val="-2"/>
          <w:u w:val="single"/>
        </w:rPr>
        <w:t>, Community Wildfire Protection Plans, CAL FIRE Unit Fire Plans</w:t>
      </w:r>
      <w:r w:rsidRPr="009A1356">
        <w:rPr>
          <w:spacing w:val="-2"/>
        </w:rPr>
        <w:t xml:space="preserve">), policies, and ordinances to the extent the project is subject to them. </w:t>
      </w:r>
      <w:bookmarkStart w:id="18" w:name="_Hlk10464028"/>
      <w:r w:rsidRPr="009A1356">
        <w:rPr>
          <w:spacing w:val="-2"/>
        </w:rPr>
        <w:t>This SPR applies to all treatment activities and treatment types</w:t>
      </w:r>
      <w:r w:rsidR="00417229" w:rsidRPr="009A1356">
        <w:rPr>
          <w:spacing w:val="-2"/>
          <w:u w:val="single"/>
        </w:rPr>
        <w:t>, including treatment maintenance</w:t>
      </w:r>
      <w:r w:rsidRPr="009A1356">
        <w:rPr>
          <w:spacing w:val="-2"/>
          <w:u w:val="single"/>
        </w:rPr>
        <w:t>.</w:t>
      </w:r>
      <w:bookmarkEnd w:id="17"/>
      <w:bookmarkEnd w:id="18"/>
    </w:p>
    <w:p w14:paraId="4563A821" w14:textId="77777777" w:rsidR="0053186A" w:rsidRPr="00FF3897" w:rsidRDefault="0053186A" w:rsidP="0053186A">
      <w:pPr>
        <w:pStyle w:val="Bullet1"/>
        <w:rPr>
          <w:u w:val="single"/>
        </w:rPr>
      </w:pPr>
      <w:r w:rsidRPr="00FF3897">
        <w:rPr>
          <w:b/>
          <w:u w:val="single"/>
        </w:rPr>
        <w:t xml:space="preserve">SPR AD-9: </w:t>
      </w:r>
      <w:bookmarkStart w:id="19" w:name="_Hlk20635617"/>
      <w:r w:rsidRPr="00FF3897">
        <w:rPr>
          <w:b/>
          <w:u w:val="single"/>
        </w:rPr>
        <w:t>Obtain a Coastal Development Permit for Proposed Treatment Within the Coastal Zone Where Required</w:t>
      </w:r>
      <w:bookmarkEnd w:id="19"/>
      <w:r w:rsidRPr="00FF3897">
        <w:rPr>
          <w:u w:val="single"/>
        </w:rPr>
        <w:t xml:space="preserve">. When planning a treatment project within the Coastal Zone, the project proponent will contact the local Coastal Commission district office, or applicable local government to determine if the project area is within the jurisdiction of the Coastal Commission, a local government with a certified Local Coastal Program (LCP), or both. All treatment projects in the Coastal Zone will be reviewed by the local Coastal Commission district office or local government with a certified LCP (in consultation with the local Coastal Commission district office regarding </w:t>
      </w:r>
      <w:r w:rsidRPr="00FF3897">
        <w:rPr>
          <w:u w:val="single"/>
        </w:rPr>
        <w:lastRenderedPageBreak/>
        <w:t xml:space="preserve">whether a Coastal Development Permit (CDP) is required). If a CDP is required, the treatment project will be designed to meet the following conditions:  </w:t>
      </w:r>
    </w:p>
    <w:p w14:paraId="1B35D9C0" w14:textId="77777777" w:rsidR="0053186A" w:rsidRPr="00FF3897" w:rsidRDefault="0053186A" w:rsidP="0053186A">
      <w:pPr>
        <w:pStyle w:val="Bullet1"/>
        <w:numPr>
          <w:ilvl w:val="0"/>
          <w:numId w:val="0"/>
        </w:numPr>
        <w:ind w:left="720" w:hanging="360"/>
        <w:rPr>
          <w:u w:val="single"/>
        </w:rPr>
      </w:pPr>
      <w:proofErr w:type="spellStart"/>
      <w:r w:rsidRPr="00FF3897">
        <w:rPr>
          <w:u w:val="single"/>
        </w:rPr>
        <w:t>i</w:t>
      </w:r>
      <w:proofErr w:type="spellEnd"/>
      <w:r w:rsidRPr="00FF3897">
        <w:rPr>
          <w:u w:val="single"/>
        </w:rPr>
        <w:t>.</w:t>
      </w:r>
      <w:r w:rsidRPr="00FF3897">
        <w:rPr>
          <w:u w:val="single"/>
        </w:rPr>
        <w:tab/>
        <w:t>The treatment project will be designed in compliance with applicable provisions of the Coastal Act that provide substantive performance standards for the protection of potentially affected coastal resources, if the treatment activity will occur within the original jurisdiction of the Commission or an area of a local coastal government without a certified LCP; and</w:t>
      </w:r>
    </w:p>
    <w:p w14:paraId="7BEF5378" w14:textId="77777777" w:rsidR="0053186A" w:rsidRPr="00FF3897" w:rsidRDefault="0053186A" w:rsidP="0053186A">
      <w:pPr>
        <w:pStyle w:val="Bullet1"/>
        <w:numPr>
          <w:ilvl w:val="0"/>
          <w:numId w:val="0"/>
        </w:numPr>
        <w:ind w:left="720" w:hanging="360"/>
        <w:rPr>
          <w:u w:val="single"/>
        </w:rPr>
      </w:pPr>
      <w:r w:rsidRPr="00FF3897">
        <w:rPr>
          <w:u w:val="single"/>
        </w:rPr>
        <w:t>ii.</w:t>
      </w:r>
      <w:r w:rsidRPr="00FF3897">
        <w:rPr>
          <w:u w:val="single"/>
        </w:rPr>
        <w:tab/>
        <w:t>The treatment project will be designed in compliance with the applicable provisions of the certified LCP, specifically the substantive performance standards for the protection of potentially affected coastal resources, if the treatment activity will occur within the jurisdiction of a local coastal government with a certified LCP.</w:t>
      </w:r>
    </w:p>
    <w:p w14:paraId="54A66D8E" w14:textId="7738F1EE" w:rsidR="00675E9F" w:rsidRDefault="0053186A" w:rsidP="0053186A">
      <w:pPr>
        <w:pStyle w:val="Bullet1"/>
        <w:numPr>
          <w:ilvl w:val="0"/>
          <w:numId w:val="0"/>
        </w:numPr>
        <w:ind w:left="360"/>
      </w:pPr>
      <w:r w:rsidRPr="00FF3897">
        <w:rPr>
          <w:u w:val="single"/>
        </w:rPr>
        <w:t>This SPR applies to all treatment activities and all treatment types</w:t>
      </w:r>
      <w:r w:rsidR="00417229" w:rsidRPr="00FF3897">
        <w:rPr>
          <w:u w:val="single"/>
        </w:rPr>
        <w:t>, including treatment maintenance</w:t>
      </w:r>
      <w:r w:rsidRPr="00FF3897">
        <w:rPr>
          <w:u w:val="single"/>
        </w:rPr>
        <w:t>.</w:t>
      </w:r>
    </w:p>
    <w:p w14:paraId="742631A1" w14:textId="3F34E864" w:rsidR="00435BC0" w:rsidRDefault="00556ACC" w:rsidP="00435BC0">
      <w:pPr>
        <w:pStyle w:val="Heading4"/>
      </w:pPr>
      <w:r>
        <w:t xml:space="preserve">Thresholds of </w:t>
      </w:r>
      <w:r w:rsidR="00435BC0">
        <w:t>Significance</w:t>
      </w:r>
    </w:p>
    <w:p w14:paraId="590107E5" w14:textId="34B4A568" w:rsidR="00DE1887" w:rsidRDefault="002F3115" w:rsidP="00DE1887">
      <w:pPr>
        <w:pStyle w:val="BodyText"/>
      </w:pPr>
      <w:bookmarkStart w:id="20" w:name="_Hlk3035340"/>
      <w:r w:rsidRPr="00E325A0">
        <w:t xml:space="preserve">Thresholds of significance are based on Appendix G of the State CEQA Guidelines. </w:t>
      </w:r>
      <w:r>
        <w:t>A treatment implemented under the proposed CalVTP</w:t>
      </w:r>
      <w:r w:rsidRPr="00E325A0">
        <w:t xml:space="preserve"> would result in a significant impact </w:t>
      </w:r>
      <w:bookmarkEnd w:id="20"/>
      <w:r w:rsidR="00D80469" w:rsidRPr="00D80469">
        <w:t xml:space="preserve">related to </w:t>
      </w:r>
      <w:r w:rsidR="000649E9">
        <w:t>land use and planning and population and housing</w:t>
      </w:r>
      <w:r w:rsidR="00D80469" w:rsidRPr="00D80469">
        <w:t xml:space="preserve"> </w:t>
      </w:r>
      <w:r>
        <w:t>if it</w:t>
      </w:r>
      <w:r w:rsidR="00DE1887">
        <w:t xml:space="preserve"> would</w:t>
      </w:r>
      <w:r w:rsidR="00DE1887" w:rsidRPr="00DE1887">
        <w:t>:</w:t>
      </w:r>
    </w:p>
    <w:p w14:paraId="668AF764" w14:textId="616074B1" w:rsidR="001C013C" w:rsidRDefault="008F2F1C" w:rsidP="001C013C">
      <w:pPr>
        <w:pStyle w:val="Bullet1"/>
      </w:pPr>
      <w:r>
        <w:t xml:space="preserve">physically </w:t>
      </w:r>
      <w:r w:rsidR="001C013C">
        <w:t>divide an established community;</w:t>
      </w:r>
    </w:p>
    <w:p w14:paraId="7C419369" w14:textId="06D12CD3" w:rsidR="001C013C" w:rsidRDefault="008F2F1C" w:rsidP="001C013C">
      <w:pPr>
        <w:pStyle w:val="Bullet1"/>
      </w:pPr>
      <w:r>
        <w:t xml:space="preserve">cause </w:t>
      </w:r>
      <w:r w:rsidR="001C013C">
        <w:t>a significant environmental impact due to a conflict with any land use plan, policy, or regulation adopted for the purpose of avoiding or mitigating an environmental effect;</w:t>
      </w:r>
      <w:r w:rsidR="00C414E7">
        <w:t xml:space="preserve"> </w:t>
      </w:r>
    </w:p>
    <w:p w14:paraId="26C059BC" w14:textId="285FED10" w:rsidR="002F3115" w:rsidRDefault="008F2F1C" w:rsidP="00F229A6">
      <w:pPr>
        <w:pStyle w:val="Bullet1"/>
      </w:pPr>
      <w:r>
        <w:t xml:space="preserve">induce </w:t>
      </w:r>
      <w:r w:rsidR="00DE1887">
        <w:t>substantial unplanned population growth in an area, either directly (for example, by proposing new homes and businesses) or indirectly (for example, through extension of roads or other infrastructure)</w:t>
      </w:r>
      <w:r w:rsidR="002F3115">
        <w:t>; or</w:t>
      </w:r>
    </w:p>
    <w:p w14:paraId="1798BB21" w14:textId="06298BD5" w:rsidR="00DE1887" w:rsidRDefault="008F2F1C" w:rsidP="00F229A6">
      <w:pPr>
        <w:pStyle w:val="Bullet1"/>
      </w:pPr>
      <w:r w:rsidRPr="00DB363C">
        <w:t xml:space="preserve">displace </w:t>
      </w:r>
      <w:r w:rsidR="002F3115" w:rsidRPr="00DB363C">
        <w:t>substantial numbers of existing people or housing, necessitating the construction of replacement housing elsewhere</w:t>
      </w:r>
      <w:r w:rsidR="00C414E7">
        <w:t>.</w:t>
      </w:r>
    </w:p>
    <w:p w14:paraId="6FC9691B" w14:textId="2B378B9D" w:rsidR="00D158A8" w:rsidRDefault="00D158A8" w:rsidP="00D158A8">
      <w:pPr>
        <w:pStyle w:val="Heading4"/>
      </w:pPr>
      <w:r>
        <w:t xml:space="preserve">Issues Not </w:t>
      </w:r>
      <w:r w:rsidR="00DF2BED">
        <w:t>Evaluated</w:t>
      </w:r>
      <w:r>
        <w:t xml:space="preserve"> Further</w:t>
      </w:r>
    </w:p>
    <w:p w14:paraId="519AE4FE" w14:textId="4AEC74BB" w:rsidR="00D05A1F" w:rsidRPr="00AC180B" w:rsidRDefault="005D6747" w:rsidP="00B255F6">
      <w:pPr>
        <w:pStyle w:val="Bullet1"/>
        <w:keepLines/>
        <w:numPr>
          <w:ilvl w:val="0"/>
          <w:numId w:val="0"/>
        </w:numPr>
      </w:pPr>
      <w:r w:rsidRPr="005D6747">
        <w:t>Wildland-</w:t>
      </w:r>
      <w:r w:rsidR="007E4158">
        <w:t>u</w:t>
      </w:r>
      <w:r w:rsidRPr="005D6747">
        <w:t xml:space="preserve">rban </w:t>
      </w:r>
      <w:r w:rsidR="007E4158">
        <w:t>i</w:t>
      </w:r>
      <w:r w:rsidRPr="005D6747">
        <w:t xml:space="preserve">nterface </w:t>
      </w:r>
      <w:r w:rsidR="00527A37">
        <w:t xml:space="preserve">(WUI) </w:t>
      </w:r>
      <w:r w:rsidR="007E4158">
        <w:t>f</w:t>
      </w:r>
      <w:r w:rsidRPr="005D6747">
        <w:t xml:space="preserve">uel </w:t>
      </w:r>
      <w:r w:rsidR="007E4158">
        <w:t>r</w:t>
      </w:r>
      <w:r w:rsidRPr="005D6747">
        <w:t>eduction</w:t>
      </w:r>
      <w:r w:rsidR="007E4158">
        <w:t xml:space="preserve"> treatment</w:t>
      </w:r>
      <w:r w:rsidR="008441C1">
        <w:t xml:space="preserve">s </w:t>
      </w:r>
      <w:r w:rsidR="00782268">
        <w:t>would</w:t>
      </w:r>
      <w:r w:rsidR="007A3209">
        <w:t xml:space="preserve"> be implemented in</w:t>
      </w:r>
      <w:r w:rsidR="002E6AA6">
        <w:t xml:space="preserve"> areas </w:t>
      </w:r>
      <w:r w:rsidR="007E4158">
        <w:t xml:space="preserve">near development in </w:t>
      </w:r>
      <w:r w:rsidR="00D71D04">
        <w:t xml:space="preserve">communities and cities to reduce </w:t>
      </w:r>
      <w:r w:rsidR="008441C1">
        <w:t>wildfire risk</w:t>
      </w:r>
      <w:r w:rsidR="0048113C">
        <w:t xml:space="preserve">. </w:t>
      </w:r>
      <w:r w:rsidR="008320DA">
        <w:t>Fuel break</w:t>
      </w:r>
      <w:r w:rsidR="008441C1">
        <w:t xml:space="preserve">s </w:t>
      </w:r>
      <w:r w:rsidR="008320DA">
        <w:t xml:space="preserve">would </w:t>
      </w:r>
      <w:r w:rsidR="008441C1">
        <w:t xml:space="preserve">be established typically </w:t>
      </w:r>
      <w:r w:rsidR="008320DA">
        <w:t xml:space="preserve">along </w:t>
      </w:r>
      <w:r w:rsidR="008441C1">
        <w:t xml:space="preserve">prominent </w:t>
      </w:r>
      <w:r w:rsidR="00386128">
        <w:t>topographic</w:t>
      </w:r>
      <w:r w:rsidR="008441C1">
        <w:t xml:space="preserve"> features (</w:t>
      </w:r>
      <w:r w:rsidR="00386128">
        <w:t xml:space="preserve">e.g., </w:t>
      </w:r>
      <w:r w:rsidR="008320DA">
        <w:t>ridgelines</w:t>
      </w:r>
      <w:r w:rsidR="00386128">
        <w:t>)</w:t>
      </w:r>
      <w:r w:rsidR="008320DA">
        <w:t xml:space="preserve"> and existing roadways. Ecological restoration would </w:t>
      </w:r>
      <w:r w:rsidR="00386128">
        <w:t xml:space="preserve">be implemented </w:t>
      </w:r>
      <w:r w:rsidR="00911B92">
        <w:t>outside of the WUI in order to restore ecosystem</w:t>
      </w:r>
      <w:r w:rsidR="00A1532A">
        <w:t xml:space="preserve"> processes, conditions, and resilienc</w:t>
      </w:r>
      <w:r w:rsidR="00945832">
        <w:t xml:space="preserve">y. </w:t>
      </w:r>
      <w:r w:rsidR="005B5F5E">
        <w:t xml:space="preserve">These treatment </w:t>
      </w:r>
      <w:r w:rsidR="00386128">
        <w:t xml:space="preserve">types </w:t>
      </w:r>
      <w:r w:rsidR="005B5F5E">
        <w:t xml:space="preserve">could be located near communities and cities; however, they would not result in </w:t>
      </w:r>
      <w:r w:rsidR="005B5F5E" w:rsidRPr="000D2887">
        <w:t xml:space="preserve">construction of </w:t>
      </w:r>
      <w:r w:rsidR="005B5F5E">
        <w:t xml:space="preserve">physical </w:t>
      </w:r>
      <w:r w:rsidR="005B5F5E" w:rsidRPr="000D2887">
        <w:t>barrier</w:t>
      </w:r>
      <w:r w:rsidR="005B5F5E">
        <w:t>s</w:t>
      </w:r>
      <w:r w:rsidR="005B5F5E" w:rsidRPr="000D2887">
        <w:t xml:space="preserve"> that </w:t>
      </w:r>
      <w:r w:rsidR="005B5F5E">
        <w:t xml:space="preserve">would </w:t>
      </w:r>
      <w:r w:rsidR="005B5F5E" w:rsidRPr="000D2887">
        <w:t xml:space="preserve">change the connectivity between </w:t>
      </w:r>
      <w:r w:rsidR="005B5F5E">
        <w:t xml:space="preserve">portions </w:t>
      </w:r>
      <w:r w:rsidR="005B5F5E" w:rsidRPr="000D2887">
        <w:t>of a community</w:t>
      </w:r>
      <w:r w:rsidR="005B5F5E">
        <w:t xml:space="preserve"> or city. </w:t>
      </w:r>
      <w:r w:rsidR="00945832">
        <w:t xml:space="preserve">The nature of these treatment </w:t>
      </w:r>
      <w:r w:rsidR="00386128">
        <w:t xml:space="preserve">types </w:t>
      </w:r>
      <w:r w:rsidR="00945832">
        <w:t xml:space="preserve">would </w:t>
      </w:r>
      <w:r w:rsidR="008E66F7">
        <w:t xml:space="preserve">not result in the physical division of an established community. Similarly, </w:t>
      </w:r>
      <w:r w:rsidR="00EA4D32">
        <w:t xml:space="preserve">for the reasons described above, </w:t>
      </w:r>
      <w:r w:rsidR="008E66F7">
        <w:t xml:space="preserve">the nature of </w:t>
      </w:r>
      <w:r w:rsidR="00386128">
        <w:t>proposed CalVTP treatments</w:t>
      </w:r>
      <w:r w:rsidR="008E66F7">
        <w:t xml:space="preserve"> would </w:t>
      </w:r>
      <w:r w:rsidR="005B5F5E">
        <w:t xml:space="preserve">also </w:t>
      </w:r>
      <w:r w:rsidR="002F3115">
        <w:t xml:space="preserve">not displace </w:t>
      </w:r>
      <w:r w:rsidR="004B22AE">
        <w:t>people or housing</w:t>
      </w:r>
      <w:r w:rsidR="001573E8">
        <w:t>, necessitating the construction of replacement housing elsewhere.</w:t>
      </w:r>
      <w:r w:rsidR="00386128">
        <w:t xml:space="preserve"> Th</w:t>
      </w:r>
      <w:r w:rsidR="00527A37">
        <w:t>ese</w:t>
      </w:r>
      <w:r w:rsidR="00386128">
        <w:t xml:space="preserve"> issues are not evaluated further. </w:t>
      </w:r>
    </w:p>
    <w:p w14:paraId="51180AAE" w14:textId="49FDFAEC" w:rsidR="00435BC0" w:rsidRDefault="00435BC0" w:rsidP="00435BC0">
      <w:pPr>
        <w:pStyle w:val="Heading4"/>
      </w:pPr>
      <w:r>
        <w:lastRenderedPageBreak/>
        <w:t>Impact</w:t>
      </w:r>
      <w:r w:rsidR="00DF2BED">
        <w:t xml:space="preserve"> Analysis</w:t>
      </w:r>
    </w:p>
    <w:p w14:paraId="4F90AE30" w14:textId="104D6950" w:rsidR="001D75BA" w:rsidRPr="00CC6793" w:rsidRDefault="001D75BA" w:rsidP="001D75BA">
      <w:pPr>
        <w:pStyle w:val="ImpactNo"/>
      </w:pPr>
      <w:bookmarkStart w:id="21" w:name="_Toc464034589"/>
      <w:r w:rsidRPr="00CC6793">
        <w:t xml:space="preserve">Impact </w:t>
      </w:r>
      <w:r w:rsidR="00853F0D">
        <w:t>LU</w:t>
      </w:r>
      <w:r>
        <w:t>-</w:t>
      </w:r>
      <w:r w:rsidR="00DB363C">
        <w:t>1</w:t>
      </w:r>
      <w:r w:rsidRPr="00CC6793">
        <w:t xml:space="preserve">: </w:t>
      </w:r>
      <w:r w:rsidR="00D2571A" w:rsidRPr="00D2571A">
        <w:t xml:space="preserve">Cause a </w:t>
      </w:r>
      <w:r w:rsidR="00A4256D">
        <w:t>S</w:t>
      </w:r>
      <w:r w:rsidR="00D2571A" w:rsidRPr="00D2571A">
        <w:t xml:space="preserve">ignificant </w:t>
      </w:r>
      <w:r w:rsidR="00A4256D">
        <w:t>E</w:t>
      </w:r>
      <w:r w:rsidR="00D2571A" w:rsidRPr="00D2571A">
        <w:t xml:space="preserve">nvironmental </w:t>
      </w:r>
      <w:r w:rsidR="00A4256D">
        <w:t>I</w:t>
      </w:r>
      <w:r w:rsidR="00D2571A" w:rsidRPr="00D2571A">
        <w:t xml:space="preserve">mpact </w:t>
      </w:r>
      <w:r w:rsidR="00A4256D">
        <w:t>D</w:t>
      </w:r>
      <w:r w:rsidR="00D2571A" w:rsidRPr="00D2571A">
        <w:t xml:space="preserve">ue to a </w:t>
      </w:r>
      <w:r w:rsidR="00A4256D">
        <w:t>C</w:t>
      </w:r>
      <w:r w:rsidR="00D2571A" w:rsidRPr="00D2571A">
        <w:t xml:space="preserve">onflict with </w:t>
      </w:r>
      <w:r w:rsidR="00E231B4">
        <w:t>a</w:t>
      </w:r>
      <w:r w:rsidR="00D2571A" w:rsidRPr="00D2571A">
        <w:t xml:space="preserve"> </w:t>
      </w:r>
      <w:r w:rsidR="00A4256D">
        <w:t>L</w:t>
      </w:r>
      <w:r w:rsidR="00D2571A" w:rsidRPr="00D2571A">
        <w:t xml:space="preserve">and </w:t>
      </w:r>
      <w:r w:rsidR="00A4256D">
        <w:t>U</w:t>
      </w:r>
      <w:r w:rsidR="00D2571A" w:rsidRPr="00D2571A">
        <w:t xml:space="preserve">se </w:t>
      </w:r>
      <w:r w:rsidR="00A4256D">
        <w:t>P</w:t>
      </w:r>
      <w:r w:rsidR="00D2571A" w:rsidRPr="00D2571A">
        <w:t xml:space="preserve">lan, </w:t>
      </w:r>
      <w:r w:rsidR="00A4256D">
        <w:t>P</w:t>
      </w:r>
      <w:r w:rsidR="00D2571A" w:rsidRPr="00D2571A">
        <w:t xml:space="preserve">olicy, or </w:t>
      </w:r>
      <w:r w:rsidR="007A28FD">
        <w:t>R</w:t>
      </w:r>
      <w:r w:rsidR="00D2571A" w:rsidRPr="00D2571A">
        <w:t>egulation</w:t>
      </w:r>
    </w:p>
    <w:p w14:paraId="4AEE44BD" w14:textId="2387A37D" w:rsidR="00E56BAA" w:rsidRPr="00CC6793" w:rsidRDefault="00B93354" w:rsidP="00E56BAA">
      <w:pPr>
        <w:pStyle w:val="Impactdescription"/>
      </w:pPr>
      <w:r>
        <w:t xml:space="preserve">The proposed CalVTP would implement </w:t>
      </w:r>
      <w:r w:rsidR="00386128">
        <w:t xml:space="preserve">vegetation </w:t>
      </w:r>
      <w:r>
        <w:t xml:space="preserve">treatment on lands owned and managed by </w:t>
      </w:r>
      <w:r w:rsidR="00386128">
        <w:t>various</w:t>
      </w:r>
      <w:r>
        <w:t xml:space="preserve"> entities, including state agencies, private owners, special districts, non-profit organizations, cities, and counties. </w:t>
      </w:r>
      <w:r w:rsidRPr="00AB5E83">
        <w:t xml:space="preserve">For projects on state lands, </w:t>
      </w:r>
      <w:r w:rsidR="005A2AB9">
        <w:t>a</w:t>
      </w:r>
      <w:r w:rsidR="005A2AB9" w:rsidRPr="00AB5E83">
        <w:t xml:space="preserve"> </w:t>
      </w:r>
      <w:r w:rsidRPr="00AB5E83">
        <w:t xml:space="preserve">land management agency would develop the project consistent with </w:t>
      </w:r>
      <w:r w:rsidR="005A2AB9">
        <w:t>its</w:t>
      </w:r>
      <w:r w:rsidR="005A2AB9" w:rsidRPr="00AB5E83">
        <w:t xml:space="preserve"> </w:t>
      </w:r>
      <w:r w:rsidRPr="00AB5E83">
        <w:t>land management plan</w:t>
      </w:r>
      <w:r>
        <w:t xml:space="preserve">. For projects subject to local plans, policies, or regulations, </w:t>
      </w:r>
      <w:r w:rsidRPr="00FC7AE9">
        <w:t xml:space="preserve">CAL FIRE would </w:t>
      </w:r>
      <w:r w:rsidR="005A2AB9" w:rsidRPr="00A2788B">
        <w:t>voluntarily seek to operate consistently with local governance to the extent feasible</w:t>
      </w:r>
      <w:r w:rsidR="00BC33A4">
        <w:t xml:space="preserve">. In general, all project proponents will design and implement treatments in a manner that is consistent with applicable local plans (e.g., general plans), </w:t>
      </w:r>
      <w:r w:rsidR="00BC33A4" w:rsidRPr="00D6194B">
        <w:t>policies</w:t>
      </w:r>
      <w:r w:rsidR="00BC33A4">
        <w:t xml:space="preserve">, and ordinances to the extent the project is subject to them, as required </w:t>
      </w:r>
      <w:r>
        <w:t xml:space="preserve">SPR AD-3. </w:t>
      </w:r>
      <w:r w:rsidR="009336AD" w:rsidRPr="00FF3897">
        <w:rPr>
          <w:u w:val="single"/>
        </w:rPr>
        <w:t xml:space="preserve">Treatment activities that would occur </w:t>
      </w:r>
      <w:r w:rsidR="009336AD" w:rsidRPr="00FF3897">
        <w:rPr>
          <w:u w:val="single"/>
          <w:lang w:val="en"/>
        </w:rPr>
        <w:t>within the coastal zone would be required to comply with the California Coastal Act or a certified LCP (as applicable), including obtaining a coastal development permit, when necessary pursuant to the provisions of SPR AD-</w:t>
      </w:r>
      <w:r w:rsidR="004D4C63" w:rsidRPr="00FF3897">
        <w:rPr>
          <w:u w:val="single"/>
          <w:lang w:val="en"/>
        </w:rPr>
        <w:t>9</w:t>
      </w:r>
      <w:r w:rsidR="009336AD" w:rsidRPr="00FF3897">
        <w:rPr>
          <w:u w:val="single"/>
          <w:lang w:val="en"/>
        </w:rPr>
        <w:t xml:space="preserve">. </w:t>
      </w:r>
      <w:r>
        <w:t>Furthermore, t</w:t>
      </w:r>
      <w:r w:rsidRPr="00FC7AE9">
        <w:t xml:space="preserve">he environmental </w:t>
      </w:r>
      <w:r w:rsidR="00BC33A4">
        <w:t>impacts</w:t>
      </w:r>
      <w:r w:rsidR="00BC33A4" w:rsidRPr="00FC7AE9">
        <w:t xml:space="preserve"> </w:t>
      </w:r>
      <w:r w:rsidRPr="00FC7AE9">
        <w:t>of</w:t>
      </w:r>
      <w:r w:rsidR="00BC33A4">
        <w:t xml:space="preserve"> the proposed</w:t>
      </w:r>
      <w:r w:rsidRPr="00FC7AE9">
        <w:t xml:space="preserve"> </w:t>
      </w:r>
      <w:r>
        <w:t>CalVTP</w:t>
      </w:r>
      <w:r w:rsidRPr="00FC7AE9">
        <w:t xml:space="preserve"> are addressed </w:t>
      </w:r>
      <w:r w:rsidR="00BC33A4">
        <w:t>throughout</w:t>
      </w:r>
      <w:r w:rsidR="00BC33A4" w:rsidRPr="00FC7AE9">
        <w:t xml:space="preserve"> </w:t>
      </w:r>
      <w:r>
        <w:t xml:space="preserve">this </w:t>
      </w:r>
      <w:r w:rsidR="00BC33A4">
        <w:t>P</w:t>
      </w:r>
      <w:r>
        <w:t>EIR and m</w:t>
      </w:r>
      <w:r w:rsidRPr="00FC7AE9">
        <w:t xml:space="preserve">itigation is </w:t>
      </w:r>
      <w:r w:rsidR="00BC33A4">
        <w:t>identified</w:t>
      </w:r>
      <w:r w:rsidRPr="00FC7AE9">
        <w:t xml:space="preserve"> to </w:t>
      </w:r>
      <w:r w:rsidR="00BC33A4">
        <w:t>reduce</w:t>
      </w:r>
      <w:r w:rsidRPr="00FC7AE9">
        <w:t xml:space="preserve"> significant effects</w:t>
      </w:r>
      <w:r w:rsidR="00BC33A4">
        <w:t xml:space="preserve">, thereby avoiding </w:t>
      </w:r>
      <w:r w:rsidRPr="00AB5E83">
        <w:t>a conflict with a land use plan, policy, or regulation</w:t>
      </w:r>
      <w:r w:rsidR="00AC3C08">
        <w:t xml:space="preserve"> that was adopted for the purpose of avoiding or mitigating an environmental effect</w:t>
      </w:r>
      <w:r w:rsidRPr="00AB5E83">
        <w:t xml:space="preserve">. This impact would be </w:t>
      </w:r>
      <w:r w:rsidRPr="00AB5E83">
        <w:rPr>
          <w:b/>
        </w:rPr>
        <w:t>less than significant</w:t>
      </w:r>
      <w:r w:rsidRPr="00AB5E83">
        <w:t>.</w:t>
      </w:r>
      <w:r w:rsidR="00E56BAA">
        <w:t xml:space="preserve"> </w:t>
      </w:r>
    </w:p>
    <w:p w14:paraId="619381D7" w14:textId="1D443F20" w:rsidR="00B93354" w:rsidRDefault="00B93354" w:rsidP="00B93354">
      <w:pPr>
        <w:pStyle w:val="BodyText"/>
      </w:pPr>
      <w:r>
        <w:t xml:space="preserve">The proposed CalVTP would implement treatment activities on lands owned and managed </w:t>
      </w:r>
      <w:r w:rsidR="00124870">
        <w:t xml:space="preserve">by </w:t>
      </w:r>
      <w:r w:rsidR="00BC33A4">
        <w:t>various</w:t>
      </w:r>
      <w:r>
        <w:t xml:space="preserve"> entities, including state agencies, private owners, special districts, non-profit organizations, cities, and counties. </w:t>
      </w:r>
      <w:r w:rsidR="00BC33A4">
        <w:t>Treatment a</w:t>
      </w:r>
      <w:r>
        <w:t xml:space="preserve">ctivities on state-owned and -managed lands </w:t>
      </w:r>
      <w:r w:rsidR="00BC33A4">
        <w:t>would be</w:t>
      </w:r>
      <w:r>
        <w:t xml:space="preserve"> subject to plans</w:t>
      </w:r>
      <w:r w:rsidR="00BC33A4">
        <w:t xml:space="preserve"> that have been adopted </w:t>
      </w:r>
      <w:r>
        <w:t xml:space="preserve">by the </w:t>
      </w:r>
      <w:r w:rsidR="00BC33A4">
        <w:t>subject agency</w:t>
      </w:r>
      <w:r>
        <w:t xml:space="preserve">, including general plans for state parks and land management plans for CDFW wildlife areas and ecological reserves. </w:t>
      </w:r>
      <w:r w:rsidR="00BC33A4">
        <w:t>Treatment a</w:t>
      </w:r>
      <w:r>
        <w:t xml:space="preserve">ctivities </w:t>
      </w:r>
      <w:r w:rsidR="00BC33A4">
        <w:t>on</w:t>
      </w:r>
      <w:r>
        <w:t xml:space="preserve"> lands owned </w:t>
      </w:r>
      <w:r w:rsidR="00BC33A4">
        <w:t xml:space="preserve">or </w:t>
      </w:r>
      <w:r>
        <w:t>managed by private owners, special districts, non-profit organizations, cities, and counties are generally required to comply with applicable city and county general plans</w:t>
      </w:r>
      <w:r w:rsidR="00BC33A4">
        <w:t xml:space="preserve"> and other local </w:t>
      </w:r>
      <w:r w:rsidR="00BC33A4" w:rsidRPr="00D6194B">
        <w:t>policies</w:t>
      </w:r>
      <w:r w:rsidR="00BC33A4">
        <w:t xml:space="preserve"> and ordinances</w:t>
      </w:r>
      <w:r>
        <w:t xml:space="preserve">. </w:t>
      </w:r>
      <w:r w:rsidR="00BC33A4">
        <w:t>Treatments on land</w:t>
      </w:r>
      <w:r>
        <w:t xml:space="preserve"> within the coastal zone are subject to the requirements of the Coastal Act </w:t>
      </w:r>
      <w:r w:rsidRPr="00FF3897">
        <w:rPr>
          <w:strike/>
        </w:rPr>
        <w:t xml:space="preserve">and </w:t>
      </w:r>
      <w:proofErr w:type="spellStart"/>
      <w:r w:rsidR="00BC33A4" w:rsidRPr="00FF3897">
        <w:rPr>
          <w:strike/>
        </w:rPr>
        <w:t>associated</w:t>
      </w:r>
      <w:r w:rsidR="00655445" w:rsidRPr="00FF3897">
        <w:rPr>
          <w:u w:val="single"/>
        </w:rPr>
        <w:t>or</w:t>
      </w:r>
      <w:proofErr w:type="spellEnd"/>
      <w:r w:rsidR="00655445" w:rsidRPr="00FF3897">
        <w:rPr>
          <w:u w:val="single"/>
        </w:rPr>
        <w:t xml:space="preserve"> certified</w:t>
      </w:r>
      <w:r w:rsidR="00BC33A4">
        <w:t xml:space="preserve"> </w:t>
      </w:r>
      <w:r>
        <w:t>LCPs</w:t>
      </w:r>
      <w:r w:rsidR="00655445" w:rsidRPr="00FF3897">
        <w:rPr>
          <w:u w:val="single"/>
        </w:rPr>
        <w:t>, as applicable</w:t>
      </w:r>
      <w:r>
        <w:t xml:space="preserve">. </w:t>
      </w:r>
    </w:p>
    <w:p w14:paraId="6D432A29" w14:textId="171A0F02" w:rsidR="00B93354" w:rsidRDefault="00B93354" w:rsidP="00B93354">
      <w:pPr>
        <w:pStyle w:val="BodyText"/>
      </w:pPr>
      <w:r w:rsidRPr="00703709">
        <w:t xml:space="preserve">For projects on state lands, the </w:t>
      </w:r>
      <w:r w:rsidR="00BC33A4">
        <w:t>implementing state agency</w:t>
      </w:r>
      <w:r w:rsidR="00BC33A4" w:rsidRPr="00703709">
        <w:t xml:space="preserve"> </w:t>
      </w:r>
      <w:r w:rsidR="00BC33A4">
        <w:t xml:space="preserve">(project proponent) </w:t>
      </w:r>
      <w:r w:rsidR="00BC33A4" w:rsidRPr="00703709">
        <w:t xml:space="preserve">would be </w:t>
      </w:r>
      <w:r w:rsidR="00BC33A4">
        <w:t xml:space="preserve">involved in designing </w:t>
      </w:r>
      <w:r w:rsidR="00BC33A4" w:rsidRPr="00703709">
        <w:t>the project</w:t>
      </w:r>
      <w:r w:rsidR="00BC33A4">
        <w:t>; therefore</w:t>
      </w:r>
      <w:r>
        <w:t>,</w:t>
      </w:r>
      <w:r w:rsidRPr="00703709">
        <w:t xml:space="preserve"> it is assumed that </w:t>
      </w:r>
      <w:r>
        <w:t>the</w:t>
      </w:r>
      <w:r w:rsidR="00BC33A4">
        <w:t xml:space="preserve"> treatment</w:t>
      </w:r>
      <w:r>
        <w:t xml:space="preserve"> project</w:t>
      </w:r>
      <w:r w:rsidRPr="00703709">
        <w:t xml:space="preserve"> would inherently be consistent with </w:t>
      </w:r>
      <w:r w:rsidR="00C254A6">
        <w:t>its</w:t>
      </w:r>
      <w:r w:rsidR="00C254A6" w:rsidRPr="00703709">
        <w:t xml:space="preserve"> </w:t>
      </w:r>
      <w:r w:rsidRPr="00703709">
        <w:t>land management plan</w:t>
      </w:r>
      <w:r>
        <w:t xml:space="preserve"> (e.g., general plan, land management plan)</w:t>
      </w:r>
      <w:r w:rsidRPr="00703709">
        <w:t xml:space="preserve">. </w:t>
      </w:r>
      <w:r>
        <w:t xml:space="preserve">As described above under </w:t>
      </w:r>
      <w:r w:rsidR="001D3666">
        <w:t>“</w:t>
      </w:r>
      <w:r>
        <w:t>Local</w:t>
      </w:r>
      <w:r w:rsidR="001D3666">
        <w:t>”</w:t>
      </w:r>
      <w:r>
        <w:t xml:space="preserve"> in Section 3.12.2, </w:t>
      </w:r>
      <w:r w:rsidR="001D3666">
        <w:t>“</w:t>
      </w:r>
      <w:r>
        <w:t>Regulatory Setting</w:t>
      </w:r>
      <w:r w:rsidR="001D3666">
        <w:t>,”</w:t>
      </w:r>
      <w:r>
        <w:t xml:space="preserve"> </w:t>
      </w:r>
      <w:r w:rsidR="00C254A6">
        <w:t xml:space="preserve">qualifying </w:t>
      </w:r>
      <w:r w:rsidRPr="00815AF9">
        <w:t xml:space="preserve">treatments implemented </w:t>
      </w:r>
      <w:r w:rsidR="00C254A6">
        <w:t xml:space="preserve">by CAL FIRE or other state agency </w:t>
      </w:r>
      <w:r w:rsidRPr="00815AF9">
        <w:t>under the proposed</w:t>
      </w:r>
      <w:r>
        <w:t xml:space="preserve"> CalVTP</w:t>
      </w:r>
      <w:r w:rsidRPr="00A2788B">
        <w:t xml:space="preserve"> are </w:t>
      </w:r>
      <w:r>
        <w:t>exempt from</w:t>
      </w:r>
      <w:r w:rsidR="00C254A6">
        <w:t xml:space="preserve"> compliance with</w:t>
      </w:r>
      <w:r w:rsidRPr="00A2788B">
        <w:t xml:space="preserve"> local government plans, policies, and ordinances (unless </w:t>
      </w:r>
      <w:r w:rsidRPr="00FC7AE9">
        <w:t xml:space="preserve">a constitutional provision or statute </w:t>
      </w:r>
      <w:r w:rsidR="00556ACC">
        <w:t>directs</w:t>
      </w:r>
      <w:r w:rsidRPr="00FC7AE9">
        <w:t xml:space="preserve"> otherwise). </w:t>
      </w:r>
      <w:r w:rsidR="00C254A6">
        <w:t>However</w:t>
      </w:r>
      <w:r w:rsidRPr="00FC7AE9">
        <w:t>, CAL FIRE would voluntarily</w:t>
      </w:r>
      <w:r w:rsidRPr="00A2788B">
        <w:t xml:space="preserve"> seek to operate consistently with local governance to the extent feasible</w:t>
      </w:r>
      <w:r>
        <w:t>, which is demonstrated through incorporation of SPR AD-3</w:t>
      </w:r>
      <w:r w:rsidR="00C254A6">
        <w:t>,</w:t>
      </w:r>
      <w:r>
        <w:t xml:space="preserve"> </w:t>
      </w:r>
      <w:r w:rsidR="00C254A6">
        <w:t xml:space="preserve">which </w:t>
      </w:r>
      <w:r>
        <w:t>require</w:t>
      </w:r>
      <w:r w:rsidR="00C254A6">
        <w:t>s</w:t>
      </w:r>
      <w:r>
        <w:t xml:space="preserve"> project proponents to design and implement treatment activities in a manner that is consistent with applicable local plans (e.g., general plans), policies, and ordinances to the extent the project is subject to them. </w:t>
      </w:r>
    </w:p>
    <w:p w14:paraId="44B55FC1" w14:textId="696E975B" w:rsidR="00B93354" w:rsidRDefault="00B93354" w:rsidP="00C6205A">
      <w:pPr>
        <w:pStyle w:val="BodyText"/>
      </w:pPr>
      <w:r>
        <w:t>Treatment</w:t>
      </w:r>
      <w:r w:rsidR="00C254A6">
        <w:t>s implemented under the CalVTP</w:t>
      </w:r>
      <w:r>
        <w:t xml:space="preserve"> </w:t>
      </w:r>
      <w:r w:rsidR="00C254A6">
        <w:t xml:space="preserve">on land </w:t>
      </w:r>
      <w:r>
        <w:t xml:space="preserve">located within the coastal zone </w:t>
      </w:r>
      <w:r w:rsidR="00C254A6">
        <w:t>are</w:t>
      </w:r>
      <w:r>
        <w:t xml:space="preserve"> subject to </w:t>
      </w:r>
      <w:r w:rsidR="00C254A6">
        <w:t xml:space="preserve">the </w:t>
      </w:r>
      <w:r w:rsidR="009F3F83">
        <w:t xml:space="preserve">California </w:t>
      </w:r>
      <w:r w:rsidR="00C254A6">
        <w:t xml:space="preserve">Coastal Act. </w:t>
      </w:r>
      <w:r w:rsidR="00886AED" w:rsidRPr="00FF3897">
        <w:rPr>
          <w:u w:val="single"/>
        </w:rPr>
        <w:t xml:space="preserve">All treatment projects in the Coastal Zone that qualify as “development” under the definition presented in PRC Section 30106 would require a coastal development permit (CDP) pursuant to the Coastal Act. </w:t>
      </w:r>
      <w:r w:rsidR="00C254A6">
        <w:rPr>
          <w:lang w:val="en"/>
        </w:rPr>
        <w:t xml:space="preserve">According to </w:t>
      </w:r>
      <w:r w:rsidR="009F3F83">
        <w:rPr>
          <w:lang w:val="en"/>
        </w:rPr>
        <w:t xml:space="preserve">California </w:t>
      </w:r>
      <w:r w:rsidR="00C254A6">
        <w:rPr>
          <w:lang w:val="en"/>
        </w:rPr>
        <w:t xml:space="preserve">Coastal Commission staff, the CalVTP treatment activities are </w:t>
      </w:r>
      <w:r w:rsidR="009F3F83">
        <w:rPr>
          <w:lang w:val="en"/>
        </w:rPr>
        <w:t xml:space="preserve">typically </w:t>
      </w:r>
      <w:r w:rsidR="00C254A6">
        <w:rPr>
          <w:lang w:val="en"/>
        </w:rPr>
        <w:t>considered development</w:t>
      </w:r>
      <w:r w:rsidR="00655445" w:rsidRPr="00FF3897">
        <w:rPr>
          <w:u w:val="single"/>
          <w:lang w:val="en"/>
        </w:rPr>
        <w:t>, in part,</w:t>
      </w:r>
      <w:r w:rsidR="00C254A6">
        <w:rPr>
          <w:lang w:val="en"/>
        </w:rPr>
        <w:t xml:space="preserve"> under the Coastal Act</w:t>
      </w:r>
      <w:r w:rsidR="009F3F83">
        <w:rPr>
          <w:lang w:val="en"/>
        </w:rPr>
        <w:t xml:space="preserve">, because they can result in </w:t>
      </w:r>
      <w:r w:rsidR="00AB1C9B">
        <w:rPr>
          <w:lang w:val="en"/>
        </w:rPr>
        <w:t xml:space="preserve">the removal of </w:t>
      </w:r>
      <w:r w:rsidR="0002786A">
        <w:rPr>
          <w:lang w:val="en"/>
        </w:rPr>
        <w:t>major vegetation</w:t>
      </w:r>
      <w:r w:rsidR="00F95361">
        <w:rPr>
          <w:lang w:val="en"/>
        </w:rPr>
        <w:t xml:space="preserve"> for purpose other than agricultural use</w:t>
      </w:r>
      <w:r w:rsidR="001D3666">
        <w:rPr>
          <w:lang w:val="en"/>
        </w:rPr>
        <w:t xml:space="preserve"> </w:t>
      </w:r>
      <w:r w:rsidR="00AB1C9B" w:rsidRPr="00FF3897">
        <w:rPr>
          <w:strike/>
          <w:lang w:val="en"/>
        </w:rPr>
        <w:t xml:space="preserve">in accordance </w:t>
      </w:r>
      <w:proofErr w:type="spellStart"/>
      <w:r w:rsidR="00AB1C9B" w:rsidRPr="00FF3897">
        <w:rPr>
          <w:strike/>
          <w:lang w:val="en"/>
        </w:rPr>
        <w:t>with</w:t>
      </w:r>
      <w:r w:rsidR="00655445" w:rsidRPr="00FF3897">
        <w:rPr>
          <w:u w:val="single"/>
          <w:lang w:val="en"/>
        </w:rPr>
        <w:t>as</w:t>
      </w:r>
      <w:proofErr w:type="spellEnd"/>
      <w:r w:rsidR="00655445" w:rsidRPr="00FF3897">
        <w:rPr>
          <w:u w:val="single"/>
          <w:lang w:val="en"/>
        </w:rPr>
        <w:t xml:space="preserve"> specified in</w:t>
      </w:r>
      <w:r w:rsidR="00AB1C9B">
        <w:rPr>
          <w:lang w:val="en"/>
        </w:rPr>
        <w:t xml:space="preserve"> PRC Section 30106</w:t>
      </w:r>
      <w:r w:rsidR="0002786A">
        <w:rPr>
          <w:lang w:val="en"/>
        </w:rPr>
        <w:t xml:space="preserve">. As a result, </w:t>
      </w:r>
      <w:r w:rsidR="0002786A" w:rsidRPr="00FF3897">
        <w:rPr>
          <w:strike/>
          <w:lang w:val="en"/>
        </w:rPr>
        <w:t>they</w:t>
      </w:r>
      <w:r w:rsidR="00C254A6">
        <w:rPr>
          <w:lang w:val="en"/>
        </w:rPr>
        <w:t xml:space="preserve"> </w:t>
      </w:r>
      <w:r w:rsidR="00655445" w:rsidRPr="00FF3897">
        <w:rPr>
          <w:u w:val="single"/>
          <w:lang w:val="en"/>
        </w:rPr>
        <w:t xml:space="preserve">anyone undertaking CalVTP treatment activities within the coastal zone </w:t>
      </w:r>
      <w:r w:rsidR="00C254A6" w:rsidRPr="00FF3897">
        <w:rPr>
          <w:strike/>
          <w:lang w:val="en"/>
        </w:rPr>
        <w:t xml:space="preserve">would </w:t>
      </w:r>
      <w:proofErr w:type="spellStart"/>
      <w:r w:rsidR="0002786A" w:rsidRPr="00FF3897">
        <w:rPr>
          <w:strike/>
          <w:lang w:val="en"/>
        </w:rPr>
        <w:t>generally</w:t>
      </w:r>
      <w:r w:rsidR="00886AED" w:rsidRPr="00FF3897">
        <w:rPr>
          <w:u w:val="single"/>
          <w:lang w:val="en"/>
        </w:rPr>
        <w:t>may</w:t>
      </w:r>
      <w:proofErr w:type="spellEnd"/>
      <w:r w:rsidR="0002786A">
        <w:rPr>
          <w:lang w:val="en"/>
        </w:rPr>
        <w:t xml:space="preserve"> </w:t>
      </w:r>
      <w:r w:rsidR="00C254A6">
        <w:rPr>
          <w:lang w:val="en"/>
        </w:rPr>
        <w:t xml:space="preserve">be required to </w:t>
      </w:r>
      <w:r w:rsidR="00830B9C" w:rsidRPr="00FF3897">
        <w:rPr>
          <w:u w:val="single"/>
          <w:lang w:val="en"/>
        </w:rPr>
        <w:t xml:space="preserve">first </w:t>
      </w:r>
      <w:r w:rsidR="00C254A6">
        <w:rPr>
          <w:lang w:val="en"/>
        </w:rPr>
        <w:t xml:space="preserve">obtain a coastal </w:t>
      </w:r>
      <w:r w:rsidR="00C6205A">
        <w:rPr>
          <w:lang w:val="en"/>
        </w:rPr>
        <w:t xml:space="preserve">development </w:t>
      </w:r>
      <w:r w:rsidR="00C254A6">
        <w:rPr>
          <w:lang w:val="en"/>
        </w:rPr>
        <w:t>permit</w:t>
      </w:r>
      <w:r w:rsidR="00C254A6" w:rsidRPr="00FF3897">
        <w:rPr>
          <w:strike/>
          <w:lang w:val="en"/>
        </w:rPr>
        <w:t xml:space="preserve"> for any </w:t>
      </w:r>
      <w:r w:rsidR="00C6205A" w:rsidRPr="00FF3897">
        <w:rPr>
          <w:strike/>
          <w:lang w:val="en"/>
        </w:rPr>
        <w:t>treatment</w:t>
      </w:r>
      <w:r w:rsidR="00C254A6" w:rsidRPr="00FF3897">
        <w:rPr>
          <w:strike/>
          <w:lang w:val="en"/>
        </w:rPr>
        <w:t xml:space="preserve"> activities that would occur within the coastal zone</w:t>
      </w:r>
      <w:r w:rsidR="00C254A6">
        <w:rPr>
          <w:lang w:val="en"/>
        </w:rPr>
        <w:t>.</w:t>
      </w:r>
      <w:r w:rsidR="00C6205A">
        <w:rPr>
          <w:lang w:val="en"/>
        </w:rPr>
        <w:t xml:space="preserve"> </w:t>
      </w:r>
      <w:r w:rsidR="00C6205A" w:rsidRPr="00FF3897">
        <w:rPr>
          <w:strike/>
          <w:lang w:val="en"/>
        </w:rPr>
        <w:t xml:space="preserve">Applicable </w:t>
      </w:r>
      <w:r w:rsidR="00830B9C" w:rsidRPr="00FF3897">
        <w:rPr>
          <w:u w:val="single"/>
          <w:lang w:val="en"/>
        </w:rPr>
        <w:t xml:space="preserve">Allowable treatment activities, including appropriate parameters and any requisite </w:t>
      </w:r>
      <w:r w:rsidR="00C6205A">
        <w:rPr>
          <w:lang w:val="en"/>
        </w:rPr>
        <w:t xml:space="preserve">measures would be determined </w:t>
      </w:r>
      <w:r>
        <w:t>on a project-level, site-specific basis</w:t>
      </w:r>
      <w:r w:rsidR="00886AED" w:rsidRPr="00FF3897">
        <w:rPr>
          <w:u w:val="single"/>
        </w:rPr>
        <w:t>, and could be informed</w:t>
      </w:r>
      <w:r>
        <w:t xml:space="preserve"> through the coastal development permit process. Coastal development permits are issued by the </w:t>
      </w:r>
      <w:r w:rsidRPr="005E0D82">
        <w:t>California Coastal Commission</w:t>
      </w:r>
      <w:r>
        <w:t xml:space="preserve"> or from the local </w:t>
      </w:r>
      <w:proofErr w:type="spellStart"/>
      <w:r w:rsidRPr="00FF3897">
        <w:rPr>
          <w:strike/>
        </w:rPr>
        <w:t>agency</w:t>
      </w:r>
      <w:r w:rsidR="00830B9C" w:rsidRPr="00FF3897">
        <w:rPr>
          <w:u w:val="single"/>
        </w:rPr>
        <w:t>government</w:t>
      </w:r>
      <w:proofErr w:type="spellEnd"/>
      <w:r>
        <w:t xml:space="preserve"> that has </w:t>
      </w:r>
      <w:r w:rsidR="00830B9C" w:rsidRPr="00FF3897">
        <w:rPr>
          <w:u w:val="single"/>
        </w:rPr>
        <w:t xml:space="preserve">delegated </w:t>
      </w:r>
      <w:r>
        <w:t xml:space="preserve">coastal </w:t>
      </w:r>
      <w:r w:rsidR="00830B9C" w:rsidRPr="00FF3897">
        <w:rPr>
          <w:u w:val="single"/>
        </w:rPr>
        <w:t xml:space="preserve">development </w:t>
      </w:r>
      <w:r>
        <w:t xml:space="preserve">permitting authority in </w:t>
      </w:r>
      <w:proofErr w:type="gramStart"/>
      <w:r>
        <w:t>a</w:t>
      </w:r>
      <w:r w:rsidRPr="00FF3897">
        <w:rPr>
          <w:strike/>
        </w:rPr>
        <w:t>n</w:t>
      </w:r>
      <w:proofErr w:type="gramEnd"/>
      <w:r w:rsidR="00830B9C" w:rsidRPr="00FF3897">
        <w:rPr>
          <w:u w:val="single"/>
        </w:rPr>
        <w:t xml:space="preserve"> certified</w:t>
      </w:r>
      <w:r>
        <w:t xml:space="preserve"> LCP. </w:t>
      </w:r>
    </w:p>
    <w:p w14:paraId="7D274880" w14:textId="554E592A" w:rsidR="00B93354" w:rsidRDefault="00B93354" w:rsidP="00B93354">
      <w:pPr>
        <w:pStyle w:val="BodyText"/>
      </w:pPr>
      <w:r>
        <w:t xml:space="preserve">As described above, </w:t>
      </w:r>
      <w:r w:rsidR="00AC032C">
        <w:t xml:space="preserve">when designing treatments, project proponents </w:t>
      </w:r>
      <w:r>
        <w:t xml:space="preserve">would be required to review consistency with local plans, policies, and ordinances. The potential environmental </w:t>
      </w:r>
      <w:r w:rsidR="00AC032C">
        <w:t xml:space="preserve">impacts </w:t>
      </w:r>
      <w:r>
        <w:t xml:space="preserve">that could result from implementation of </w:t>
      </w:r>
      <w:r w:rsidR="00AC032C">
        <w:t xml:space="preserve">the proposed </w:t>
      </w:r>
      <w:r>
        <w:t xml:space="preserve">CalVTP are assessed </w:t>
      </w:r>
      <w:r w:rsidR="00AC032C">
        <w:t xml:space="preserve">throughout </w:t>
      </w:r>
      <w:r>
        <w:t xml:space="preserve">this PEIR and mitigation </w:t>
      </w:r>
      <w:r w:rsidR="00AC032C">
        <w:t>is</w:t>
      </w:r>
      <w:r>
        <w:t xml:space="preserve"> identified to </w:t>
      </w:r>
      <w:r w:rsidR="00AC032C">
        <w:t>reduce</w:t>
      </w:r>
      <w:r>
        <w:t xml:space="preserve"> significant </w:t>
      </w:r>
      <w:r w:rsidR="00AC032C">
        <w:t>impacts</w:t>
      </w:r>
      <w:r w:rsidR="00481496">
        <w:t xml:space="preserve">; </w:t>
      </w:r>
      <w:r w:rsidR="00481496">
        <w:lastRenderedPageBreak/>
        <w:t>thus, this PEIR addresses</w:t>
      </w:r>
      <w:r w:rsidR="00AC3C08">
        <w:t xml:space="preserve">, to the extent </w:t>
      </w:r>
      <w:r w:rsidR="001E0208">
        <w:t>applicable to the proposed CalVTP</w:t>
      </w:r>
      <w:r w:rsidR="00AC3C08">
        <w:t>,</w:t>
      </w:r>
      <w:r w:rsidR="00481496">
        <w:t xml:space="preserve"> potentially significant impacts for which a land use plan, policy, or regulation </w:t>
      </w:r>
      <w:r w:rsidR="00AC3C08">
        <w:t>was developed to avoid or mitigate</w:t>
      </w:r>
      <w:r>
        <w:t>.</w:t>
      </w:r>
      <w:r w:rsidR="00C254A6" w:rsidRPr="00C254A6">
        <w:t xml:space="preserve"> </w:t>
      </w:r>
      <w:r w:rsidR="00C254A6">
        <w:t xml:space="preserve">Additionally, </w:t>
      </w:r>
      <w:r w:rsidR="00AC032C">
        <w:t>project proponents</w:t>
      </w:r>
      <w:r w:rsidR="00C254A6">
        <w:t xml:space="preserve"> would be required to complete a project-</w:t>
      </w:r>
      <w:r w:rsidR="00AC032C">
        <w:t>specific</w:t>
      </w:r>
      <w:r w:rsidR="00C254A6">
        <w:t xml:space="preserve"> analysis (PSA, see </w:t>
      </w:r>
      <w:r w:rsidR="00AC032C">
        <w:t>Appendix PD-3</w:t>
      </w:r>
      <w:r w:rsidR="00C254A6">
        <w:t xml:space="preserve">, </w:t>
      </w:r>
      <w:r w:rsidR="001D3666">
        <w:t>“</w:t>
      </w:r>
      <w:r w:rsidR="00C254A6">
        <w:t>Project-S</w:t>
      </w:r>
      <w:r w:rsidR="00AC032C">
        <w:t>pecific</w:t>
      </w:r>
      <w:r w:rsidR="00C254A6">
        <w:t xml:space="preserve"> Analysis</w:t>
      </w:r>
      <w:r w:rsidR="001D3666">
        <w:t>”</w:t>
      </w:r>
      <w:r w:rsidR="00C254A6">
        <w:t xml:space="preserve">) that would </w:t>
      </w:r>
      <w:r w:rsidR="00C254A6" w:rsidRPr="00AE3D71">
        <w:t xml:space="preserve">evaluate the </w:t>
      </w:r>
      <w:r w:rsidR="00AC032C">
        <w:t>proposed treatment</w:t>
      </w:r>
      <w:r w:rsidR="00C254A6" w:rsidRPr="00AE3D71">
        <w:t xml:space="preserve"> to determine whether the </w:t>
      </w:r>
      <w:r w:rsidR="00AC032C">
        <w:t>activity(</w:t>
      </w:r>
      <w:proofErr w:type="spellStart"/>
      <w:r w:rsidR="00AC032C">
        <w:t>ies</w:t>
      </w:r>
      <w:proofErr w:type="spellEnd"/>
      <w:r w:rsidR="00AC032C">
        <w:t xml:space="preserve">) and </w:t>
      </w:r>
      <w:r w:rsidR="00C254A6" w:rsidRPr="00AE3D71">
        <w:t xml:space="preserve">environmental effects are addressed within the scope of this PEIR, consistent with Section 15168 of the </w:t>
      </w:r>
      <w:r w:rsidR="00AB3C7F">
        <w:t xml:space="preserve">State </w:t>
      </w:r>
      <w:r w:rsidR="00C254A6" w:rsidRPr="00AE3D71">
        <w:t xml:space="preserve">CEQA Guidelines for later activities consistent with a program and its PEIR. The PSA requires </w:t>
      </w:r>
      <w:r w:rsidR="00AB3C7F">
        <w:t>the project proponent</w:t>
      </w:r>
      <w:r w:rsidR="00C254A6" w:rsidRPr="00AE3D71">
        <w:t xml:space="preserve"> </w:t>
      </w:r>
      <w:r w:rsidR="00C254A6" w:rsidRPr="00827493">
        <w:t>to determine that all applicable SPRs and mitigation measures identified in the CalVTP PEIR have been incorporated</w:t>
      </w:r>
      <w:r w:rsidR="00C254A6" w:rsidRPr="00AE3D71">
        <w:t xml:space="preserve"> into the project, and whether additional mitigation would be necessary.</w:t>
      </w:r>
    </w:p>
    <w:p w14:paraId="6DE59A26" w14:textId="45CC66C0" w:rsidR="00F9736F" w:rsidRDefault="00B93354" w:rsidP="00F9736F">
      <w:pPr>
        <w:pStyle w:val="BodyText"/>
      </w:pPr>
      <w:r>
        <w:t>Treatment</w:t>
      </w:r>
      <w:r w:rsidR="00AB3C7F">
        <w:t>s under the CalVTP</w:t>
      </w:r>
      <w:r w:rsidR="00481496">
        <w:t xml:space="preserve"> </w:t>
      </w:r>
      <w:r>
        <w:t xml:space="preserve">on state-owned and -managed lands would be developed to be consistent with applicable state plans; treatment activities that are within the jurisdiction of local governments would </w:t>
      </w:r>
      <w:r w:rsidR="00AB3C7F">
        <w:t xml:space="preserve">adhere to </w:t>
      </w:r>
      <w:r>
        <w:t>SPR AD-3 that would require consistency with local plans, policies, and ordinances</w:t>
      </w:r>
      <w:r w:rsidR="00AB3C7F">
        <w:t xml:space="preserve"> to the extent the project is subject to them.</w:t>
      </w:r>
      <w:r w:rsidR="00481496">
        <w:t xml:space="preserve"> Treatment activities that would occur </w:t>
      </w:r>
      <w:r w:rsidR="00481496">
        <w:rPr>
          <w:lang w:val="en"/>
        </w:rPr>
        <w:t xml:space="preserve">within the coastal zone would be required to </w:t>
      </w:r>
      <w:r w:rsidR="0002786A">
        <w:rPr>
          <w:lang w:val="en"/>
        </w:rPr>
        <w:t xml:space="preserve">comply with </w:t>
      </w:r>
      <w:bookmarkStart w:id="22" w:name="_Hlk19860818"/>
      <w:r w:rsidR="0002786A">
        <w:rPr>
          <w:lang w:val="en"/>
        </w:rPr>
        <w:t>the California Coastal Act</w:t>
      </w:r>
      <w:r w:rsidR="00830B9C" w:rsidRPr="00BD3505">
        <w:rPr>
          <w:u w:val="single"/>
          <w:lang w:val="en"/>
        </w:rPr>
        <w:t xml:space="preserve"> or a certified LCP (as applicable)</w:t>
      </w:r>
      <w:bookmarkEnd w:id="22"/>
      <w:r w:rsidR="0002786A">
        <w:rPr>
          <w:lang w:val="en"/>
        </w:rPr>
        <w:t xml:space="preserve">, including </w:t>
      </w:r>
      <w:r w:rsidR="00481496">
        <w:rPr>
          <w:lang w:val="en"/>
        </w:rPr>
        <w:t>obtain</w:t>
      </w:r>
      <w:r w:rsidR="0002786A">
        <w:rPr>
          <w:lang w:val="en"/>
        </w:rPr>
        <w:t>ing</w:t>
      </w:r>
      <w:r w:rsidR="00481496">
        <w:rPr>
          <w:lang w:val="en"/>
        </w:rPr>
        <w:t xml:space="preserve"> a coastal development permit</w:t>
      </w:r>
      <w:r w:rsidR="0002786A">
        <w:rPr>
          <w:lang w:val="en"/>
        </w:rPr>
        <w:t>, when necessary</w:t>
      </w:r>
      <w:r w:rsidR="00536A0D">
        <w:rPr>
          <w:lang w:val="en"/>
        </w:rPr>
        <w:t xml:space="preserve"> </w:t>
      </w:r>
      <w:r w:rsidR="009336AD" w:rsidRPr="00BD3505">
        <w:rPr>
          <w:u w:val="single"/>
          <w:lang w:val="en"/>
        </w:rPr>
        <w:t>p</w:t>
      </w:r>
      <w:r w:rsidR="00536A0D" w:rsidRPr="00BD3505">
        <w:rPr>
          <w:u w:val="single"/>
          <w:lang w:val="en"/>
        </w:rPr>
        <w:t>ursuant to the provisions of SPR AD-</w:t>
      </w:r>
      <w:r w:rsidR="004D4C63" w:rsidRPr="00BD3505">
        <w:rPr>
          <w:u w:val="single"/>
          <w:lang w:val="en"/>
        </w:rPr>
        <w:t>9</w:t>
      </w:r>
      <w:r w:rsidR="0002786A">
        <w:rPr>
          <w:lang w:val="en"/>
        </w:rPr>
        <w:t xml:space="preserve">. </w:t>
      </w:r>
      <w:r w:rsidR="0002786A" w:rsidRPr="00BD3505">
        <w:rPr>
          <w:strike/>
          <w:lang w:val="en"/>
        </w:rPr>
        <w:t>A</w:t>
      </w:r>
      <w:r w:rsidR="00481496" w:rsidRPr="00BD3505">
        <w:rPr>
          <w:strike/>
          <w:lang w:val="en"/>
        </w:rPr>
        <w:t xml:space="preserve">pplicable </w:t>
      </w:r>
      <w:r w:rsidR="00830B9C" w:rsidRPr="00BD3505">
        <w:rPr>
          <w:u w:val="single"/>
          <w:lang w:val="en"/>
        </w:rPr>
        <w:t xml:space="preserve">Allowable treatment activities, including appropriate parameters and any requisite </w:t>
      </w:r>
      <w:r w:rsidR="00481496">
        <w:rPr>
          <w:lang w:val="en"/>
        </w:rPr>
        <w:t xml:space="preserve">measures to avoid or reduce potential impacts or inconsistencies related to the Coastal Act would be determined </w:t>
      </w:r>
      <w:r w:rsidR="00481496">
        <w:t>on a project-level, site-specific basis</w:t>
      </w:r>
      <w:r w:rsidR="00B042E9" w:rsidRPr="00481496">
        <w:t>.</w:t>
      </w:r>
      <w:r w:rsidR="00B042E9">
        <w:t xml:space="preserve"> Further, </w:t>
      </w:r>
      <w:r>
        <w:t xml:space="preserve">the environmental </w:t>
      </w:r>
      <w:r w:rsidR="00B042E9">
        <w:t xml:space="preserve">impacts </w:t>
      </w:r>
      <w:r>
        <w:t xml:space="preserve">of the </w:t>
      </w:r>
      <w:r w:rsidR="00B042E9">
        <w:t xml:space="preserve">proposed </w:t>
      </w:r>
      <w:r>
        <w:t xml:space="preserve">CalVTP </w:t>
      </w:r>
      <w:r w:rsidR="0070233A">
        <w:t xml:space="preserve">are </w:t>
      </w:r>
      <w:r w:rsidR="00B042E9">
        <w:t>evaluated throughout this PEIR; SPRs and</w:t>
      </w:r>
      <w:r>
        <w:t xml:space="preserve"> mitigation measures are identified to </w:t>
      </w:r>
      <w:r w:rsidR="00B042E9">
        <w:t xml:space="preserve">avoid or </w:t>
      </w:r>
      <w:r>
        <w:t xml:space="preserve">reduce </w:t>
      </w:r>
      <w:r w:rsidR="00B042E9">
        <w:t xml:space="preserve">impacts and ensure consistency with </w:t>
      </w:r>
      <w:r w:rsidR="00673217" w:rsidRPr="00AB5E83">
        <w:t>land use plan</w:t>
      </w:r>
      <w:r w:rsidR="00673217">
        <w:t>s</w:t>
      </w:r>
      <w:r w:rsidR="00673217" w:rsidRPr="00AB5E83">
        <w:t>, polic</w:t>
      </w:r>
      <w:r w:rsidR="00673217">
        <w:t>ies</w:t>
      </w:r>
      <w:r w:rsidR="00673217" w:rsidRPr="00AB5E83">
        <w:t>, or regulation</w:t>
      </w:r>
      <w:r w:rsidR="00673217">
        <w:t>s pertinent to</w:t>
      </w:r>
      <w:r w:rsidR="00B042E9">
        <w:t xml:space="preserve"> resources</w:t>
      </w:r>
      <w:r w:rsidR="00673217">
        <w:t xml:space="preserve"> considered in this PEIR</w:t>
      </w:r>
      <w:r w:rsidR="0070233A">
        <w:t xml:space="preserve"> and adopted for the purpose of avoiding or mitigating effects to these resources</w:t>
      </w:r>
      <w:r>
        <w:t xml:space="preserve">. For </w:t>
      </w:r>
      <w:r w:rsidR="00673217">
        <w:t xml:space="preserve">these </w:t>
      </w:r>
      <w:r>
        <w:t xml:space="preserve">reasons, implementation of </w:t>
      </w:r>
      <w:r w:rsidR="00474E21">
        <w:t xml:space="preserve">the proposed </w:t>
      </w:r>
      <w:r>
        <w:t>CalVTP would not c</w:t>
      </w:r>
      <w:r w:rsidRPr="00F9736F">
        <w:t xml:space="preserve">ause a </w:t>
      </w:r>
      <w:r>
        <w:t>s</w:t>
      </w:r>
      <w:r w:rsidRPr="00F9736F">
        <w:t xml:space="preserve">ignificant </w:t>
      </w:r>
      <w:r>
        <w:t>e</w:t>
      </w:r>
      <w:r w:rsidRPr="00F9736F">
        <w:t xml:space="preserve">nvironmental </w:t>
      </w:r>
      <w:r>
        <w:t>i</w:t>
      </w:r>
      <w:r w:rsidRPr="00F9736F">
        <w:t xml:space="preserve">mpact </w:t>
      </w:r>
      <w:r>
        <w:t>d</w:t>
      </w:r>
      <w:r w:rsidRPr="00F9736F">
        <w:t xml:space="preserve">ue to a </w:t>
      </w:r>
      <w:bookmarkStart w:id="23" w:name="_Hlk19860779"/>
      <w:r>
        <w:t>c</w:t>
      </w:r>
      <w:r w:rsidRPr="00F9736F">
        <w:t xml:space="preserve">onflict with a </w:t>
      </w:r>
      <w:r>
        <w:t>l</w:t>
      </w:r>
      <w:r w:rsidRPr="00F9736F">
        <w:t xml:space="preserve">and </w:t>
      </w:r>
      <w:r>
        <w:t>u</w:t>
      </w:r>
      <w:r w:rsidRPr="00F9736F">
        <w:t xml:space="preserve">se </w:t>
      </w:r>
      <w:r>
        <w:t>p</w:t>
      </w:r>
      <w:r w:rsidRPr="00F9736F">
        <w:t xml:space="preserve">lan, </w:t>
      </w:r>
      <w:r>
        <w:t>po</w:t>
      </w:r>
      <w:r w:rsidRPr="00F9736F">
        <w:t xml:space="preserve">licy, or </w:t>
      </w:r>
      <w:r>
        <w:t>r</w:t>
      </w:r>
      <w:r w:rsidRPr="00F9736F">
        <w:t>egulation</w:t>
      </w:r>
      <w:bookmarkEnd w:id="23"/>
      <w:r>
        <w:t xml:space="preserve">. This impact would be </w:t>
      </w:r>
      <w:r w:rsidRPr="00F9736F">
        <w:rPr>
          <w:b/>
        </w:rPr>
        <w:t>less than significant</w:t>
      </w:r>
      <w:r>
        <w:t>.</w:t>
      </w:r>
    </w:p>
    <w:p w14:paraId="57D635F6" w14:textId="18E3955C" w:rsidR="00565F76" w:rsidRDefault="00565F76" w:rsidP="00565F76">
      <w:pPr>
        <w:pStyle w:val="Heading5"/>
      </w:pPr>
      <w:r w:rsidRPr="009328EF">
        <w:t>Mitigation Measures</w:t>
      </w:r>
    </w:p>
    <w:p w14:paraId="4FE0F595" w14:textId="77777777" w:rsidR="00565F76" w:rsidRDefault="00565F76" w:rsidP="00565F76">
      <w:pPr>
        <w:pStyle w:val="Mitigationtext"/>
      </w:pPr>
      <w:r>
        <w:t xml:space="preserve">No mitigation is required for this impact. </w:t>
      </w:r>
    </w:p>
    <w:p w14:paraId="13BD6C00" w14:textId="109F9583" w:rsidR="00D52905" w:rsidRPr="00CC6793" w:rsidRDefault="00D52905" w:rsidP="00D52905">
      <w:pPr>
        <w:pStyle w:val="ImpactNo"/>
      </w:pPr>
      <w:r w:rsidRPr="00CC6793">
        <w:t xml:space="preserve">Impact </w:t>
      </w:r>
      <w:r>
        <w:t>LU-</w:t>
      </w:r>
      <w:r w:rsidR="00DB363C">
        <w:t>2</w:t>
      </w:r>
      <w:r w:rsidRPr="00CC6793">
        <w:t xml:space="preserve">: </w:t>
      </w:r>
      <w:r w:rsidR="0039357A">
        <w:t xml:space="preserve">Induce Substantial </w:t>
      </w:r>
      <w:r w:rsidR="002D362F">
        <w:t xml:space="preserve">Unplanned </w:t>
      </w:r>
      <w:r w:rsidR="0039357A">
        <w:t>Population Growth</w:t>
      </w:r>
    </w:p>
    <w:p w14:paraId="64E4E6A2" w14:textId="624FA4A0" w:rsidR="00D52905" w:rsidRPr="00CC6793" w:rsidRDefault="00CD0273" w:rsidP="00D52905">
      <w:pPr>
        <w:pStyle w:val="Impactdescription"/>
      </w:pPr>
      <w:r>
        <w:t>T</w:t>
      </w:r>
      <w:r w:rsidRPr="00CD0273">
        <w:t xml:space="preserve">he </w:t>
      </w:r>
      <w:r w:rsidR="007D2B7D">
        <w:t xml:space="preserve">increase in the pace and scale of vegetation treatments </w:t>
      </w:r>
      <w:r w:rsidR="00637BB0">
        <w:t>under</w:t>
      </w:r>
      <w:r w:rsidR="007D2B7D">
        <w:t xml:space="preserve"> </w:t>
      </w:r>
      <w:r w:rsidR="00637BB0">
        <w:t xml:space="preserve">the proposed </w:t>
      </w:r>
      <w:r w:rsidRPr="00CD0273">
        <w:t xml:space="preserve">CalVTP would </w:t>
      </w:r>
      <w:r w:rsidR="00637BB0">
        <w:t xml:space="preserve">result in additional </w:t>
      </w:r>
      <w:r w:rsidRPr="00CD0273">
        <w:t xml:space="preserve">demand </w:t>
      </w:r>
      <w:r w:rsidR="00637BB0">
        <w:t xml:space="preserve">for employees to implement treatments </w:t>
      </w:r>
      <w:r w:rsidRPr="00CD0273">
        <w:t xml:space="preserve">across the state within and near the treatable landscape. </w:t>
      </w:r>
      <w:r w:rsidR="009C53E7">
        <w:t xml:space="preserve">Implementation of the proposed </w:t>
      </w:r>
      <w:r>
        <w:t xml:space="preserve">CalVTP would result in an average of </w:t>
      </w:r>
      <w:r w:rsidR="009C53E7">
        <w:t xml:space="preserve">approximately </w:t>
      </w:r>
      <w:r>
        <w:t>five additional employees within each CAL FIRE unit</w:t>
      </w:r>
      <w:r w:rsidR="009C53E7">
        <w:t xml:space="preserve"> (21 units).</w:t>
      </w:r>
      <w:r>
        <w:t xml:space="preserve"> </w:t>
      </w:r>
      <w:r w:rsidR="005A0265">
        <w:t xml:space="preserve">Other state agencies, such as CSP and CDFW, could also generate demand for </w:t>
      </w:r>
      <w:r w:rsidR="00AA7493" w:rsidRPr="00AA7493">
        <w:t xml:space="preserve">some </w:t>
      </w:r>
      <w:r w:rsidR="005A0265" w:rsidRPr="00AA7493">
        <w:t>additional employees</w:t>
      </w:r>
      <w:r w:rsidR="00AA7493">
        <w:t xml:space="preserve">, </w:t>
      </w:r>
      <w:r w:rsidR="00124870">
        <w:t>although at a lower rate than</w:t>
      </w:r>
      <w:r w:rsidR="00AA7493">
        <w:t xml:space="preserve"> the employment increase anticipated for CAL FIRE</w:t>
      </w:r>
      <w:r w:rsidR="005A0265">
        <w:t xml:space="preserve">. </w:t>
      </w:r>
      <w:r w:rsidR="009C53E7">
        <w:t xml:space="preserve">Other project proponents may employ or contract workers permanently or seasonally to perform treatments. </w:t>
      </w:r>
      <w:r w:rsidR="002615B3">
        <w:t>T</w:t>
      </w:r>
      <w:r w:rsidRPr="00CD0273">
        <w:t xml:space="preserve">he increase in </w:t>
      </w:r>
      <w:r>
        <w:t xml:space="preserve">employee </w:t>
      </w:r>
      <w:r w:rsidRPr="00CD0273">
        <w:t xml:space="preserve">demand would be spread </w:t>
      </w:r>
      <w:r>
        <w:t xml:space="preserve">throughout the state and </w:t>
      </w:r>
      <w:r w:rsidRPr="00CD0273">
        <w:t xml:space="preserve">there would not be </w:t>
      </w:r>
      <w:r>
        <w:t xml:space="preserve">any </w:t>
      </w:r>
      <w:r w:rsidRPr="00CD0273">
        <w:t xml:space="preserve">specific areas that would experience a substantial increase in demand for vegetation treatment employees. Thus, implementation of </w:t>
      </w:r>
      <w:r w:rsidR="009C53E7">
        <w:t xml:space="preserve">the proposed </w:t>
      </w:r>
      <w:r w:rsidRPr="00CD0273">
        <w:t xml:space="preserve">CalVTP would not induce </w:t>
      </w:r>
      <w:r w:rsidR="002615B3">
        <w:t xml:space="preserve">substantial </w:t>
      </w:r>
      <w:r w:rsidR="00E32D4B">
        <w:t xml:space="preserve">unplanned </w:t>
      </w:r>
      <w:r w:rsidR="002615B3">
        <w:t>population growth</w:t>
      </w:r>
      <w:r w:rsidRPr="00CD0273">
        <w:t xml:space="preserve"> in any one area to cause a need for new housing, roads, or infrastructure</w:t>
      </w:r>
      <w:r w:rsidR="002615B3">
        <w:t xml:space="preserve">. This impact would be </w:t>
      </w:r>
      <w:r w:rsidR="002615B3" w:rsidRPr="002615B3">
        <w:rPr>
          <w:b/>
        </w:rPr>
        <w:t>less than significant</w:t>
      </w:r>
      <w:r w:rsidR="002615B3">
        <w:t>.</w:t>
      </w:r>
      <w:r w:rsidR="001D3666">
        <w:t xml:space="preserve"> </w:t>
      </w:r>
    </w:p>
    <w:p w14:paraId="44E0708F" w14:textId="72F299F5" w:rsidR="005C4DF0" w:rsidRDefault="005C4DF0" w:rsidP="005C4DF0">
      <w:pPr>
        <w:pStyle w:val="BodyText"/>
      </w:pPr>
      <w:r>
        <w:t xml:space="preserve">CAL FIRE currently </w:t>
      </w:r>
      <w:r w:rsidR="0002786A">
        <w:t xml:space="preserve">employs </w:t>
      </w:r>
      <w:r>
        <w:t xml:space="preserve">an estimated 110 </w:t>
      </w:r>
      <w:r w:rsidR="0002786A">
        <w:t xml:space="preserve">staff who </w:t>
      </w:r>
      <w:r>
        <w:t xml:space="preserve">implement vegetation treatment projects </w:t>
      </w:r>
      <w:r w:rsidR="005227D0">
        <w:t xml:space="preserve">within </w:t>
      </w:r>
      <w:r>
        <w:t>the state</w:t>
      </w:r>
      <w:r w:rsidR="009C53E7">
        <w:t>. These employees are typically not dedicated solely to vegetation treatment and may work on other projects or tasks for CAL FIRE; however, achieving the identified treatment acreage target under the CalVTP would require dedicated vegetation treatment crews. Currently, t</w:t>
      </w:r>
      <w:r>
        <w:t>he average crew size for treatment</w:t>
      </w:r>
      <w:r w:rsidR="009C53E7">
        <w:t>s</w:t>
      </w:r>
      <w:r>
        <w:t xml:space="preserve"> is 20</w:t>
      </w:r>
      <w:r w:rsidR="009C53E7">
        <w:t xml:space="preserve"> to </w:t>
      </w:r>
      <w:r>
        <w:t xml:space="preserve">25 </w:t>
      </w:r>
      <w:r w:rsidR="0002786A">
        <w:t>staff</w:t>
      </w:r>
      <w:r>
        <w:t xml:space="preserve">. With implementation of the proposed CalVTP, the amount of land that would </w:t>
      </w:r>
      <w:r w:rsidR="009C53E7">
        <w:t xml:space="preserve">be treated </w:t>
      </w:r>
      <w:r>
        <w:t xml:space="preserve">would increase from </w:t>
      </w:r>
      <w:r w:rsidR="00C7363E">
        <w:t>approximately 33,000</w:t>
      </w:r>
      <w:r>
        <w:t xml:space="preserve"> acres up to </w:t>
      </w:r>
      <w:r w:rsidR="00C7363E">
        <w:t xml:space="preserve">approximately </w:t>
      </w:r>
      <w:r>
        <w:t xml:space="preserve">250,000 acres treated each year by 2024. </w:t>
      </w:r>
    </w:p>
    <w:p w14:paraId="6AE0CD87" w14:textId="60093F3E" w:rsidR="000C421F" w:rsidRDefault="00F136CF" w:rsidP="005C4DF0">
      <w:pPr>
        <w:pStyle w:val="BodyText"/>
      </w:pPr>
      <w:r>
        <w:t xml:space="preserve">Vegetation treatments associated with CalVTP would be implemented by a number of different entities including </w:t>
      </w:r>
      <w:r w:rsidR="003A1AF4">
        <w:t xml:space="preserve">the 21 </w:t>
      </w:r>
      <w:r>
        <w:t xml:space="preserve">CAL FIRE Units </w:t>
      </w:r>
      <w:r w:rsidR="005227D0">
        <w:t xml:space="preserve">within </w:t>
      </w:r>
      <w:r>
        <w:t xml:space="preserve">the state, </w:t>
      </w:r>
      <w:r w:rsidR="003A1AF4">
        <w:t>six c</w:t>
      </w:r>
      <w:r>
        <w:t xml:space="preserve">ontract </w:t>
      </w:r>
      <w:r w:rsidR="003A1AF4">
        <w:t>c</w:t>
      </w:r>
      <w:r>
        <w:t xml:space="preserve">ounties; other state, regional, and local agencies with land management </w:t>
      </w:r>
      <w:r w:rsidR="009C53E7">
        <w:t xml:space="preserve">or ownership </w:t>
      </w:r>
      <w:r>
        <w:t xml:space="preserve">authority; and Fire Safe Councils or other non-governmental </w:t>
      </w:r>
      <w:r w:rsidRPr="000C421F">
        <w:t xml:space="preserve">organizations. Staff for </w:t>
      </w:r>
      <w:r w:rsidR="000C421F" w:rsidRPr="000C421F">
        <w:t xml:space="preserve">vegetation treatments are provided by </w:t>
      </w:r>
      <w:r w:rsidRPr="000C421F">
        <w:t xml:space="preserve">these entities </w:t>
      </w:r>
      <w:r w:rsidR="000C421F" w:rsidRPr="000C421F">
        <w:t xml:space="preserve">and others, including </w:t>
      </w:r>
      <w:r w:rsidR="009C53E7">
        <w:t>from Resource Conservation Districts (RCDs), California Conservation Corps (CCC)</w:t>
      </w:r>
      <w:r w:rsidR="000C421F" w:rsidRPr="000C421F">
        <w:t>, local fire districts, and</w:t>
      </w:r>
      <w:r w:rsidR="00E1497B" w:rsidRPr="000C421F">
        <w:t xml:space="preserve"> local contractors.</w:t>
      </w:r>
      <w:r w:rsidR="00737E2A" w:rsidRPr="000C421F">
        <w:t xml:space="preserve"> </w:t>
      </w:r>
    </w:p>
    <w:p w14:paraId="616ACE1D" w14:textId="43835451" w:rsidR="006F1CCA" w:rsidRPr="002A41E6" w:rsidRDefault="00737E2A" w:rsidP="006F1CCA">
      <w:pPr>
        <w:pStyle w:val="BodyText"/>
      </w:pPr>
      <w:r w:rsidRPr="000C421F">
        <w:lastRenderedPageBreak/>
        <w:t>T</w:t>
      </w:r>
      <w:r>
        <w:t xml:space="preserve">he increase in pace and scale of vegetation treatments that would occur with implementation of CalVTP would increase the number of people employed </w:t>
      </w:r>
      <w:r w:rsidR="000C421F">
        <w:t xml:space="preserve">across the state </w:t>
      </w:r>
      <w:r>
        <w:t>to conduct treatment activities.</w:t>
      </w:r>
      <w:r w:rsidR="00380BDC">
        <w:t xml:space="preserve"> </w:t>
      </w:r>
      <w:r w:rsidR="002D362F">
        <w:t>It is anticipated that the majority of</w:t>
      </w:r>
      <w:r w:rsidR="002D362F" w:rsidRPr="002A41E6">
        <w:t xml:space="preserve"> employment demand</w:t>
      </w:r>
      <w:r w:rsidR="002D362F">
        <w:t>, especially for project proponents other than CAL FIRE,</w:t>
      </w:r>
      <w:r w:rsidR="002D362F" w:rsidRPr="002A41E6">
        <w:t xml:space="preserve"> would be seasonal. </w:t>
      </w:r>
      <w:r w:rsidR="006F1CCA">
        <w:t xml:space="preserve">CAL FIRE estimates that </w:t>
      </w:r>
      <w:r w:rsidR="006F1CCA" w:rsidRPr="0055037C">
        <w:t xml:space="preserve">the number of CAL FIRE employees implementing vegetation treatment projects could double </w:t>
      </w:r>
      <w:r w:rsidR="006F1CCA">
        <w:t xml:space="preserve">and add approximately 110 new employees </w:t>
      </w:r>
      <w:r w:rsidR="009C53E7">
        <w:t>under the scenario where approximately 250,000 acres are treated per year</w:t>
      </w:r>
      <w:r w:rsidR="006F1CCA" w:rsidRPr="0055037C">
        <w:t xml:space="preserve">. </w:t>
      </w:r>
      <w:r w:rsidR="002952E9">
        <w:t>This</w:t>
      </w:r>
      <w:r w:rsidR="006F1CCA">
        <w:t xml:space="preserve"> would result in an </w:t>
      </w:r>
      <w:r w:rsidR="000C421F">
        <w:t>average of</w:t>
      </w:r>
      <w:r w:rsidR="006F1CCA">
        <w:t xml:space="preserve"> five new employees within each CAL </w:t>
      </w:r>
      <w:r w:rsidR="006F1CCA" w:rsidRPr="002952E9">
        <w:t>FIRE Unit.</w:t>
      </w:r>
      <w:r w:rsidR="00C46454" w:rsidRPr="002952E9">
        <w:t xml:space="preserve"> </w:t>
      </w:r>
      <w:r w:rsidR="002952E9">
        <w:t>Privately</w:t>
      </w:r>
      <w:r w:rsidR="001C75F5">
        <w:t xml:space="preserve"> </w:t>
      </w:r>
      <w:r w:rsidR="002952E9">
        <w:t xml:space="preserve">owned land, which would be treated by CAL FIRE, accounts for </w:t>
      </w:r>
      <w:r w:rsidR="001C75F5">
        <w:t>92</w:t>
      </w:r>
      <w:r w:rsidR="002952E9">
        <w:t xml:space="preserve"> percent of the treatable landscape</w:t>
      </w:r>
      <w:r w:rsidR="001C75F5">
        <w:t xml:space="preserve"> (see Table 3.12-1)</w:t>
      </w:r>
      <w:r w:rsidR="002952E9">
        <w:t xml:space="preserve">. </w:t>
      </w:r>
      <w:r w:rsidR="00C46454" w:rsidRPr="002952E9">
        <w:t>Outside</w:t>
      </w:r>
      <w:r w:rsidR="00C46454" w:rsidRPr="00C46454">
        <w:t xml:space="preserve"> of </w:t>
      </w:r>
      <w:r w:rsidR="00124870" w:rsidRPr="00C46454">
        <w:t>privately</w:t>
      </w:r>
      <w:r w:rsidR="00124870">
        <w:t>-owned</w:t>
      </w:r>
      <w:r w:rsidR="00C46454" w:rsidRPr="00C46454">
        <w:t xml:space="preserve"> land in the treatable landscape, state agencies own approximately 50 percent of </w:t>
      </w:r>
      <w:r w:rsidR="002952E9">
        <w:t>remaining acres</w:t>
      </w:r>
      <w:r w:rsidR="00C46454" w:rsidRPr="00C46454">
        <w:t xml:space="preserve"> in the treatable landscape. Because of the high proportion of state-owned land in the treatable landscape, state agencies, such as CSP and CDFW, could </w:t>
      </w:r>
      <w:r w:rsidR="002952E9">
        <w:t xml:space="preserve">also </w:t>
      </w:r>
      <w:r w:rsidR="00C46454" w:rsidRPr="00C46454">
        <w:t xml:space="preserve">demand </w:t>
      </w:r>
      <w:r w:rsidR="002952E9">
        <w:t>new</w:t>
      </w:r>
      <w:r w:rsidR="002952E9" w:rsidRPr="00C46454">
        <w:t xml:space="preserve"> </w:t>
      </w:r>
      <w:r w:rsidR="00C46454" w:rsidRPr="00C46454">
        <w:t>employees</w:t>
      </w:r>
      <w:r w:rsidR="00124870">
        <w:t>, but not to the extent of the demand</w:t>
      </w:r>
      <w:r w:rsidR="00C46454" w:rsidRPr="00C46454">
        <w:t xml:space="preserve"> identified </w:t>
      </w:r>
      <w:r w:rsidR="00C46454" w:rsidRPr="002A41E6">
        <w:t>for CAL FIRE</w:t>
      </w:r>
      <w:r w:rsidR="004D6E81">
        <w:t>.</w:t>
      </w:r>
    </w:p>
    <w:p w14:paraId="3F2A5964" w14:textId="74F0FD7C" w:rsidR="00EE22AF" w:rsidRDefault="002D362F" w:rsidP="006F1CCA">
      <w:pPr>
        <w:pStyle w:val="BodyText"/>
      </w:pPr>
      <w:r>
        <w:t>Other</w:t>
      </w:r>
      <w:r w:rsidR="00EE22AF">
        <w:t xml:space="preserve"> demand</w:t>
      </w:r>
      <w:r w:rsidR="000C421F" w:rsidRPr="002A41E6">
        <w:t xml:space="preserve"> could be met through increases in the number of CCC members</w:t>
      </w:r>
      <w:r>
        <w:t xml:space="preserve"> and seasonal or permanent increases in</w:t>
      </w:r>
      <w:r w:rsidR="000C421F" w:rsidRPr="002A41E6">
        <w:t xml:space="preserve"> local contractor crews</w:t>
      </w:r>
      <w:r>
        <w:t>, l</w:t>
      </w:r>
      <w:r w:rsidR="000C421F" w:rsidRPr="002A41E6">
        <w:t>ocal fire districts, RCDs, and other state, regional, and local agenc</w:t>
      </w:r>
      <w:r>
        <w:t>y staff</w:t>
      </w:r>
      <w:r w:rsidR="00BF15F6" w:rsidRPr="002A41E6">
        <w:t xml:space="preserve">. </w:t>
      </w:r>
      <w:r w:rsidR="00EE22AF">
        <w:t>The state currently has plans to expand CCC operations to include dedicated crews to treat vegetation to reduce wildfire risk (CCC 2019). The state also has allocated budget to expand and improve residential bed space for CCC members and includes plans for three new CCC residential centers and renovation of the Fortuna residential center. The state</w:t>
      </w:r>
      <w:r w:rsidR="001D3666">
        <w:t>’</w:t>
      </w:r>
      <w:r w:rsidR="00EE22AF">
        <w:t>s plans to increase vegetation treatment staff capacity and residential capacity could meet the needs for additional vegetation treatment employees generated by the proposed CalVTP. Any new residential facilities would be required to undergo project-level environmental review to assess environmental effects.</w:t>
      </w:r>
    </w:p>
    <w:p w14:paraId="23CC9E2D" w14:textId="47AE3E55" w:rsidR="001D0BCD" w:rsidRDefault="002D362F" w:rsidP="005C4DF0">
      <w:pPr>
        <w:pStyle w:val="BodyText"/>
      </w:pPr>
      <w:r>
        <w:t xml:space="preserve">For the purposes of this PEIR, an increase in permanent employment demand would also result in an increase in population growth. If the employment demand is not </w:t>
      </w:r>
      <w:r w:rsidR="001D3666">
        <w:t>“</w:t>
      </w:r>
      <w:r>
        <w:t>planned</w:t>
      </w:r>
      <w:r w:rsidR="001D3666">
        <w:t>”</w:t>
      </w:r>
      <w:r>
        <w:t xml:space="preserve"> (i.e., accounted for in </w:t>
      </w:r>
      <w:r w:rsidR="00590E1B">
        <w:t>city or county general plans</w:t>
      </w:r>
      <w:r>
        <w:t xml:space="preserve">), it </w:t>
      </w:r>
      <w:r w:rsidR="00E32D4B">
        <w:t xml:space="preserve">is </w:t>
      </w:r>
      <w:r>
        <w:t>considered unplanned.</w:t>
      </w:r>
      <w:r w:rsidR="009041EB">
        <w:t xml:space="preserve"> A</w:t>
      </w:r>
      <w:r w:rsidR="00E32D4B">
        <w:t xml:space="preserve"> substantial</w:t>
      </w:r>
      <w:r w:rsidR="009041EB">
        <w:t xml:space="preserve"> increase in unplanned population growth would likely necessitate the construction of housing or other infrastructure to support the population increase; this construction could cause physical environmental effects.</w:t>
      </w:r>
      <w:r>
        <w:t xml:space="preserve"> </w:t>
      </w:r>
      <w:r w:rsidR="00E32D4B">
        <w:t xml:space="preserve">Any new housing or infrastructure would be required to undergo project-level environmental review to assess environmental effects. </w:t>
      </w:r>
      <w:r w:rsidR="009041EB" w:rsidRPr="002A41E6">
        <w:t>Employee demand could be met by residents</w:t>
      </w:r>
      <w:r w:rsidR="00B725C8">
        <w:t xml:space="preserve"> near treatment activities</w:t>
      </w:r>
      <w:r w:rsidR="009041EB" w:rsidRPr="002A41E6">
        <w:t xml:space="preserve"> or could result in some people relocating to those areas</w:t>
      </w:r>
      <w:r w:rsidR="00B725C8">
        <w:t xml:space="preserve"> where treatment activities would occur</w:t>
      </w:r>
      <w:r w:rsidR="009041EB" w:rsidRPr="002A41E6">
        <w:t xml:space="preserve">. However, because of the nature of the location of these entities </w:t>
      </w:r>
      <w:r w:rsidR="00590E1B">
        <w:t xml:space="preserve">(e.g., CAL FIRE Units, CCC crews, local contractor crews) </w:t>
      </w:r>
      <w:r w:rsidR="009041EB" w:rsidRPr="002A41E6">
        <w:t xml:space="preserve">and treatment activities </w:t>
      </w:r>
      <w:r w:rsidR="005227D0">
        <w:t>within</w:t>
      </w:r>
      <w:r w:rsidR="009041EB" w:rsidRPr="002A41E6">
        <w:t xml:space="preserve"> the state, </w:t>
      </w:r>
      <w:r w:rsidR="009041EB">
        <w:t xml:space="preserve">implementation of the proposed </w:t>
      </w:r>
      <w:r w:rsidR="009041EB" w:rsidRPr="002A41E6">
        <w:t xml:space="preserve">CalVTP would not </w:t>
      </w:r>
      <w:r w:rsidR="009041EB">
        <w:t xml:space="preserve">result in </w:t>
      </w:r>
      <w:r w:rsidR="009041EB" w:rsidRPr="002A41E6">
        <w:t xml:space="preserve">substantial </w:t>
      </w:r>
      <w:r w:rsidR="009041EB">
        <w:t xml:space="preserve">demand for </w:t>
      </w:r>
      <w:r w:rsidR="009041EB" w:rsidRPr="002A41E6">
        <w:t xml:space="preserve">permanent employment in any one area. </w:t>
      </w:r>
      <w:r w:rsidR="00BF15F6" w:rsidRPr="002A41E6">
        <w:t>Thus, the increase in employment needs for CalVTP would not induce substantial unplanned population growth.</w:t>
      </w:r>
      <w:r w:rsidR="00D03E9A" w:rsidRPr="002A41E6">
        <w:t xml:space="preserve"> Additionally, as indicated in Table 3.12-4, </w:t>
      </w:r>
      <w:r w:rsidR="00735840" w:rsidRPr="002A41E6">
        <w:t>37 of the 57 counties within the treatable landscape have higher vacancy rates than the statewide vacancy rate of 7.4 percent, which indicates there w</w:t>
      </w:r>
      <w:r w:rsidR="00D03E9A" w:rsidRPr="002A41E6">
        <w:t xml:space="preserve">ould </w:t>
      </w:r>
      <w:r w:rsidR="00735840" w:rsidRPr="002A41E6">
        <w:t>be sufficient</w:t>
      </w:r>
      <w:r w:rsidR="00D03E9A" w:rsidRPr="002A41E6">
        <w:t xml:space="preserve"> sources of </w:t>
      </w:r>
      <w:r w:rsidR="00735840" w:rsidRPr="002A41E6">
        <w:t xml:space="preserve">existing </w:t>
      </w:r>
      <w:r w:rsidR="00D03E9A" w:rsidRPr="002A41E6">
        <w:t>housing</w:t>
      </w:r>
      <w:r w:rsidR="00735840" w:rsidRPr="002A41E6">
        <w:t xml:space="preserve"> to meet any additional demand.</w:t>
      </w:r>
      <w:r w:rsidR="001D3666">
        <w:t xml:space="preserve"> </w:t>
      </w:r>
    </w:p>
    <w:p w14:paraId="109197EC" w14:textId="367E948D" w:rsidR="005C4DF0" w:rsidRDefault="00CD0273" w:rsidP="005C4DF0">
      <w:pPr>
        <w:pStyle w:val="BodyText"/>
      </w:pPr>
      <w:r>
        <w:t>As described above, t</w:t>
      </w:r>
      <w:r w:rsidR="005C4DF0">
        <w:t xml:space="preserve">he proposed CalVTP would </w:t>
      </w:r>
      <w:r>
        <w:t xml:space="preserve">increase employment demand across the state within and in the areas near the treatable landscape. However, because the increase in demand would be spread </w:t>
      </w:r>
      <w:r w:rsidR="002A41E6">
        <w:t>through</w:t>
      </w:r>
      <w:r>
        <w:t xml:space="preserve">out </w:t>
      </w:r>
      <w:r w:rsidR="002A41E6">
        <w:t xml:space="preserve">the state </w:t>
      </w:r>
      <w:r>
        <w:t xml:space="preserve">there would not be specific areas that would experience a substantial increase in demand for vegetation treatment employees. </w:t>
      </w:r>
      <w:r w:rsidR="009041EB">
        <w:t>It is expected that the demand could be met by n</w:t>
      </w:r>
      <w:r w:rsidR="000E2705">
        <w:t xml:space="preserve">ew employees </w:t>
      </w:r>
      <w:r w:rsidR="009041EB">
        <w:t>t</w:t>
      </w:r>
      <w:r w:rsidR="00B725C8">
        <w:t>h</w:t>
      </w:r>
      <w:r w:rsidR="009041EB">
        <w:t>at are existing</w:t>
      </w:r>
      <w:r w:rsidR="000E2705">
        <w:t xml:space="preserve"> residents in the vicinity</w:t>
      </w:r>
      <w:r w:rsidR="00EB4687">
        <w:t xml:space="preserve"> of</w:t>
      </w:r>
      <w:r w:rsidR="000E2705">
        <w:t xml:space="preserve"> where treatments would occur</w:t>
      </w:r>
      <w:r w:rsidR="009041EB">
        <w:t xml:space="preserve">. The potential also exists for </w:t>
      </w:r>
      <w:r w:rsidR="000E2705">
        <w:t xml:space="preserve">people </w:t>
      </w:r>
      <w:r w:rsidR="009041EB">
        <w:t xml:space="preserve">to </w:t>
      </w:r>
      <w:r w:rsidR="000E2705">
        <w:t>relocate to the area</w:t>
      </w:r>
      <w:r w:rsidR="009041EB">
        <w:t xml:space="preserve"> where there is a demand for vegetation treatment employees</w:t>
      </w:r>
      <w:r w:rsidR="000E2705">
        <w:t xml:space="preserve">, but there would be sufficient housing to meet the housing demand associated with these new employees that </w:t>
      </w:r>
      <w:r w:rsidR="009041EB">
        <w:t xml:space="preserve">may </w:t>
      </w:r>
      <w:r w:rsidR="000E2705">
        <w:t xml:space="preserve">relocate from outside of </w:t>
      </w:r>
      <w:r w:rsidR="009041EB">
        <w:t xml:space="preserve">an </w:t>
      </w:r>
      <w:r w:rsidR="000E2705">
        <w:t xml:space="preserve">area. </w:t>
      </w:r>
      <w:r>
        <w:t xml:space="preserve">Thus, </w:t>
      </w:r>
      <w:r w:rsidR="005C4DF0">
        <w:t xml:space="preserve">implementation of </w:t>
      </w:r>
      <w:r w:rsidR="009041EB">
        <w:t xml:space="preserve">the proposed </w:t>
      </w:r>
      <w:r w:rsidR="005C4DF0">
        <w:t xml:space="preserve">CalVTP would not induce </w:t>
      </w:r>
      <w:r w:rsidR="009041EB">
        <w:t xml:space="preserve">substantial </w:t>
      </w:r>
      <w:r w:rsidR="000E2705">
        <w:t xml:space="preserve">unplanned </w:t>
      </w:r>
      <w:r w:rsidR="005C4DF0">
        <w:t xml:space="preserve">population </w:t>
      </w:r>
      <w:r w:rsidR="000E2705">
        <w:t>increases</w:t>
      </w:r>
      <w:r>
        <w:t xml:space="preserve"> in any one area</w:t>
      </w:r>
      <w:r w:rsidR="005C4DF0">
        <w:t xml:space="preserve"> to cause a need for new housing</w:t>
      </w:r>
      <w:r w:rsidR="009041EB">
        <w:t xml:space="preserve"> and other </w:t>
      </w:r>
      <w:r w:rsidR="005C4DF0">
        <w:t xml:space="preserve">infrastructure. </w:t>
      </w:r>
      <w:r>
        <w:t xml:space="preserve">This impact would be </w:t>
      </w:r>
      <w:r w:rsidRPr="00CD0273">
        <w:rPr>
          <w:b/>
        </w:rPr>
        <w:t>less than significant</w:t>
      </w:r>
      <w:r>
        <w:t>.</w:t>
      </w:r>
    </w:p>
    <w:p w14:paraId="4BF2D690" w14:textId="77777777" w:rsidR="00D52905" w:rsidRDefault="00D52905" w:rsidP="00D52905">
      <w:pPr>
        <w:pStyle w:val="Heading5"/>
      </w:pPr>
      <w:r w:rsidRPr="009328EF">
        <w:t>Mitigation Measures</w:t>
      </w:r>
    </w:p>
    <w:p w14:paraId="10BE3883" w14:textId="77777777" w:rsidR="000C638F" w:rsidRDefault="00D52905" w:rsidP="00B255F6">
      <w:pPr>
        <w:pStyle w:val="Mitigationtext"/>
      </w:pPr>
      <w:r>
        <w:t xml:space="preserve">No mitigation is required for this impact. </w:t>
      </w:r>
    </w:p>
    <w:p w14:paraId="171A36BA" w14:textId="33973932" w:rsidR="00F00260" w:rsidRDefault="00F00260">
      <w:pPr>
        <w:spacing w:after="200" w:line="276" w:lineRule="auto"/>
        <w:rPr>
          <w:spacing w:val="-2"/>
        </w:rPr>
      </w:pPr>
      <w:r>
        <w:br w:type="page"/>
      </w:r>
    </w:p>
    <w:p w14:paraId="4B7A14F2" w14:textId="77777777" w:rsidR="00F00260" w:rsidRDefault="00F00260" w:rsidP="00B255F6">
      <w:pPr>
        <w:pStyle w:val="Mitigationtext"/>
      </w:pPr>
    </w:p>
    <w:p w14:paraId="48F329CB" w14:textId="396BADB7" w:rsidR="00F00260" w:rsidRDefault="00F00260" w:rsidP="00B255F6">
      <w:pPr>
        <w:pStyle w:val="Mitigationtext"/>
      </w:pPr>
      <w:r>
        <w:t xml:space="preserve">This page intentionally left blank. </w:t>
      </w:r>
    </w:p>
    <w:bookmarkEnd w:id="21"/>
    <w:sectPr w:rsidR="00F00260"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8DA5A" w14:textId="77777777" w:rsidR="00505F44" w:rsidRDefault="00505F44" w:rsidP="00B53904">
      <w:r>
        <w:separator/>
      </w:r>
    </w:p>
  </w:endnote>
  <w:endnote w:type="continuationSeparator" w:id="0">
    <w:p w14:paraId="63D89D01" w14:textId="77777777" w:rsidR="00505F44" w:rsidRDefault="00505F44"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70AFD291" w:rsidR="00505F44" w:rsidRPr="00AE4D3F" w:rsidRDefault="00505F44"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CB57ED">
      <w:rPr>
        <w:rFonts w:cs="Segoe UI Semilight"/>
        <w:noProof/>
      </w:rPr>
      <w:t>3.12-2</w:t>
    </w:r>
    <w:r w:rsidRPr="00AE4D3F">
      <w:rPr>
        <w:rFonts w:cs="Segoe UI Semilight"/>
        <w:noProof/>
      </w:rPr>
      <w:fldChar w:fldCharType="end"/>
    </w:r>
    <w:r>
      <w:rPr>
        <w:rFonts w:cs="Segoe UI Semilight"/>
        <w:noProof/>
      </w:rPr>
      <w:tab/>
    </w:r>
    <w:r w:rsidR="0012123F">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1461ACCB" w:rsidR="00505F44" w:rsidRPr="00AE4D3F" w:rsidRDefault="00505F44" w:rsidP="00E16BE3">
    <w:pPr>
      <w:pStyle w:val="Footer"/>
    </w:pPr>
    <w:r w:rsidRPr="00AE4D3F">
      <w:t>Board of Forestry and Fire Protection</w:t>
    </w:r>
    <w:r w:rsidRPr="00AE4D3F">
      <w:tab/>
    </w:r>
    <w:r>
      <w:br/>
    </w:r>
    <w:r w:rsidR="0012123F">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CB57ED">
      <w:rPr>
        <w:rFonts w:cs="Segoe UI Semilight"/>
        <w:noProof/>
      </w:rPr>
      <w:t>3.12-1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904A" w14:textId="77777777" w:rsidR="00505F44" w:rsidRDefault="00505F44" w:rsidP="00B53904">
      <w:r>
        <w:separator/>
      </w:r>
    </w:p>
  </w:footnote>
  <w:footnote w:type="continuationSeparator" w:id="0">
    <w:p w14:paraId="0D256756" w14:textId="77777777" w:rsidR="00505F44" w:rsidRDefault="00505F44"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1C09A1BB" w:rsidR="00505F44" w:rsidRPr="00D55292" w:rsidRDefault="00505F44" w:rsidP="000C3E4D">
    <w:pPr>
      <w:pStyle w:val="Header"/>
      <w:tabs>
        <w:tab w:val="clear" w:pos="5040"/>
        <w:tab w:val="center" w:pos="5940"/>
      </w:tabs>
    </w:pPr>
    <w:r>
      <w:rPr>
        <w:rFonts w:eastAsia="Times New Roman" w:cs="Arial"/>
      </w:rPr>
      <w:t>Land Use and Planning, Population and Housing</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4ECCA603" w:rsidR="00505F44" w:rsidRPr="00D55292" w:rsidRDefault="00505F44" w:rsidP="000C3E4D">
    <w:pPr>
      <w:pStyle w:val="Header"/>
      <w:tabs>
        <w:tab w:val="clear" w:pos="5040"/>
        <w:tab w:val="center" w:pos="4140"/>
      </w:tabs>
    </w:pPr>
    <w:r w:rsidRPr="00D55292">
      <w:t>Ascent Environmental</w:t>
    </w:r>
    <w:r w:rsidRPr="00D55292">
      <w:tab/>
    </w:r>
    <w:r w:rsidRPr="00D55292">
      <w:tab/>
    </w:r>
    <w:r>
      <w:rPr>
        <w:rFonts w:eastAsia="Times New Roman" w:cs="Arial"/>
      </w:rPr>
      <w:t>Land Use and Planning, Population and Housing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505F44" w:rsidRDefault="00505F44" w:rsidP="00FA47AA">
    <w:pPr>
      <w:pStyle w:val="Header"/>
      <w:pBdr>
        <w:bottom w:val="none" w:sz="0" w:space="0" w:color="auto"/>
      </w:pBdr>
      <w:jc w:val="center"/>
    </w:pPr>
    <w:r w:rsidRPr="00B352A5">
      <w:t>Draft for Internal Review and Deliberation</w:t>
    </w:r>
  </w:p>
  <w:p w14:paraId="0A8F0FFA" w14:textId="77777777" w:rsidR="00505F44" w:rsidRDefault="00505F44"/>
  <w:p w14:paraId="2A53CF5F" w14:textId="77777777" w:rsidR="00505F44" w:rsidRDefault="00505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CEA63292"/>
    <w:lvl w:ilvl="0">
      <w:start w:val="3"/>
      <w:numFmt w:val="decimal"/>
      <w:pStyle w:val="Heading1"/>
      <w:lvlText w:val="%1"/>
      <w:lvlJc w:val="center"/>
      <w:pPr>
        <w:ind w:left="0" w:firstLine="0"/>
      </w:pPr>
      <w:rPr>
        <w:rFonts w:hint="default"/>
        <w:specVanish w:val="0"/>
      </w:rPr>
    </w:lvl>
    <w:lvl w:ilvl="1">
      <w:start w:val="12"/>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41F0D"/>
    <w:multiLevelType w:val="hybridMultilevel"/>
    <w:tmpl w:val="9B50EE24"/>
    <w:lvl w:ilvl="0" w:tplc="8514D4F2">
      <w:start w:val="1"/>
      <w:numFmt w:val="decimal"/>
      <w:lvlText w:val="1-%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F16AC"/>
    <w:multiLevelType w:val="hybridMultilevel"/>
    <w:tmpl w:val="ED3A663A"/>
    <w:lvl w:ilvl="0" w:tplc="8514BCE8">
      <w:start w:val="1"/>
      <w:numFmt w:val="bullet"/>
      <w:lvlText w:val=""/>
      <w:lvlJc w:val="left"/>
      <w:pPr>
        <w:ind w:left="1080" w:hanging="360"/>
      </w:pPr>
      <w:rPr>
        <w:rFonts w:ascii="Wingdings 2" w:hAnsi="Wingdings 2" w:hint="default"/>
        <w:b w:val="0"/>
        <w:i w:val="0"/>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77528F"/>
    <w:multiLevelType w:val="hybridMultilevel"/>
    <w:tmpl w:val="EAC6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1"/>
  </w:num>
  <w:num w:numId="4">
    <w:abstractNumId w:val="0"/>
  </w:num>
  <w:num w:numId="5">
    <w:abstractNumId w:val="6"/>
  </w:num>
  <w:num w:numId="6">
    <w:abstractNumId w:val="2"/>
  </w:num>
  <w:num w:numId="7">
    <w:abstractNumId w:val="10"/>
  </w:num>
  <w:num w:numId="8">
    <w:abstractNumId w:val="1"/>
  </w:num>
  <w:num w:numId="9">
    <w:abstractNumId w:val="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wvlTmauvC13QDL5CREwylDYtTO/ctnLmgJOZbhFmKQueORgeaW1tNBT0Avx6L0o4J6k4UrD6hSfY8ZdWsJ+MLA==" w:salt="1i8nmrMp6CezbOTAvpgRKQ=="/>
  <w:defaultTabStop w:val="720"/>
  <w:evenAndOddHeaders/>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139D"/>
    <w:rsid w:val="00001A56"/>
    <w:rsid w:val="00001BFE"/>
    <w:rsid w:val="000039A0"/>
    <w:rsid w:val="000047F6"/>
    <w:rsid w:val="000055CA"/>
    <w:rsid w:val="00005C4A"/>
    <w:rsid w:val="00006315"/>
    <w:rsid w:val="0000641B"/>
    <w:rsid w:val="00006D45"/>
    <w:rsid w:val="0000770B"/>
    <w:rsid w:val="0001240E"/>
    <w:rsid w:val="000126BD"/>
    <w:rsid w:val="0001297E"/>
    <w:rsid w:val="0001328E"/>
    <w:rsid w:val="00013B48"/>
    <w:rsid w:val="00013E6A"/>
    <w:rsid w:val="000149E9"/>
    <w:rsid w:val="00014CA7"/>
    <w:rsid w:val="000159C7"/>
    <w:rsid w:val="00016301"/>
    <w:rsid w:val="00020851"/>
    <w:rsid w:val="00021028"/>
    <w:rsid w:val="00022FF6"/>
    <w:rsid w:val="0002376E"/>
    <w:rsid w:val="0002391A"/>
    <w:rsid w:val="00026409"/>
    <w:rsid w:val="000264EA"/>
    <w:rsid w:val="00027765"/>
    <w:rsid w:val="0002786A"/>
    <w:rsid w:val="00027CC4"/>
    <w:rsid w:val="00030618"/>
    <w:rsid w:val="00031F2B"/>
    <w:rsid w:val="000347E4"/>
    <w:rsid w:val="000366A3"/>
    <w:rsid w:val="000366DD"/>
    <w:rsid w:val="00036B93"/>
    <w:rsid w:val="000372E8"/>
    <w:rsid w:val="00040CA0"/>
    <w:rsid w:val="0004163D"/>
    <w:rsid w:val="00042295"/>
    <w:rsid w:val="000426A3"/>
    <w:rsid w:val="000427C2"/>
    <w:rsid w:val="00045FFE"/>
    <w:rsid w:val="0004600A"/>
    <w:rsid w:val="00046313"/>
    <w:rsid w:val="000468C6"/>
    <w:rsid w:val="00046DFA"/>
    <w:rsid w:val="0004752D"/>
    <w:rsid w:val="00047887"/>
    <w:rsid w:val="00047BA1"/>
    <w:rsid w:val="00050F7D"/>
    <w:rsid w:val="000530D1"/>
    <w:rsid w:val="00054087"/>
    <w:rsid w:val="00054B80"/>
    <w:rsid w:val="00055058"/>
    <w:rsid w:val="00061955"/>
    <w:rsid w:val="00061E40"/>
    <w:rsid w:val="00062DE3"/>
    <w:rsid w:val="00062FAE"/>
    <w:rsid w:val="00063CEF"/>
    <w:rsid w:val="000649E9"/>
    <w:rsid w:val="0006509C"/>
    <w:rsid w:val="0006604D"/>
    <w:rsid w:val="000663FC"/>
    <w:rsid w:val="000665B4"/>
    <w:rsid w:val="00067680"/>
    <w:rsid w:val="0007138F"/>
    <w:rsid w:val="00075482"/>
    <w:rsid w:val="000802FE"/>
    <w:rsid w:val="000815EB"/>
    <w:rsid w:val="00081B55"/>
    <w:rsid w:val="000826E4"/>
    <w:rsid w:val="00082B43"/>
    <w:rsid w:val="000832E6"/>
    <w:rsid w:val="00084150"/>
    <w:rsid w:val="0008704A"/>
    <w:rsid w:val="0008745E"/>
    <w:rsid w:val="000874A5"/>
    <w:rsid w:val="0008774E"/>
    <w:rsid w:val="00090C1A"/>
    <w:rsid w:val="00092547"/>
    <w:rsid w:val="00092F79"/>
    <w:rsid w:val="00092FEC"/>
    <w:rsid w:val="00093F63"/>
    <w:rsid w:val="00094C43"/>
    <w:rsid w:val="00095631"/>
    <w:rsid w:val="000956AE"/>
    <w:rsid w:val="00095DCD"/>
    <w:rsid w:val="000978B8"/>
    <w:rsid w:val="0009796B"/>
    <w:rsid w:val="000A0113"/>
    <w:rsid w:val="000A1C94"/>
    <w:rsid w:val="000A1E51"/>
    <w:rsid w:val="000A1E55"/>
    <w:rsid w:val="000A438F"/>
    <w:rsid w:val="000A4FB2"/>
    <w:rsid w:val="000A7014"/>
    <w:rsid w:val="000A7558"/>
    <w:rsid w:val="000A78AB"/>
    <w:rsid w:val="000A7D65"/>
    <w:rsid w:val="000B021A"/>
    <w:rsid w:val="000B04A7"/>
    <w:rsid w:val="000B0586"/>
    <w:rsid w:val="000B11E6"/>
    <w:rsid w:val="000B1394"/>
    <w:rsid w:val="000B1692"/>
    <w:rsid w:val="000B185D"/>
    <w:rsid w:val="000B7DDB"/>
    <w:rsid w:val="000C0C81"/>
    <w:rsid w:val="000C1B79"/>
    <w:rsid w:val="000C2269"/>
    <w:rsid w:val="000C27FD"/>
    <w:rsid w:val="000C2E4F"/>
    <w:rsid w:val="000C3E4D"/>
    <w:rsid w:val="000C421F"/>
    <w:rsid w:val="000C60E2"/>
    <w:rsid w:val="000C638F"/>
    <w:rsid w:val="000C7511"/>
    <w:rsid w:val="000D0574"/>
    <w:rsid w:val="000D0593"/>
    <w:rsid w:val="000D2C79"/>
    <w:rsid w:val="000D3077"/>
    <w:rsid w:val="000D418F"/>
    <w:rsid w:val="000D792E"/>
    <w:rsid w:val="000E0671"/>
    <w:rsid w:val="000E07B4"/>
    <w:rsid w:val="000E0B76"/>
    <w:rsid w:val="000E2705"/>
    <w:rsid w:val="000E3A72"/>
    <w:rsid w:val="000E3BE1"/>
    <w:rsid w:val="000E3C33"/>
    <w:rsid w:val="000E3C96"/>
    <w:rsid w:val="000E418D"/>
    <w:rsid w:val="000E438C"/>
    <w:rsid w:val="000E439C"/>
    <w:rsid w:val="000E49EE"/>
    <w:rsid w:val="000E4A07"/>
    <w:rsid w:val="000E4AF9"/>
    <w:rsid w:val="000E57AC"/>
    <w:rsid w:val="000E7284"/>
    <w:rsid w:val="000F0300"/>
    <w:rsid w:val="000F0B63"/>
    <w:rsid w:val="000F167B"/>
    <w:rsid w:val="000F2869"/>
    <w:rsid w:val="000F31CF"/>
    <w:rsid w:val="000F39FC"/>
    <w:rsid w:val="000F4113"/>
    <w:rsid w:val="000F5280"/>
    <w:rsid w:val="000F5E63"/>
    <w:rsid w:val="000F61D1"/>
    <w:rsid w:val="000F6DF5"/>
    <w:rsid w:val="000F6FD6"/>
    <w:rsid w:val="001007D3"/>
    <w:rsid w:val="00100CC0"/>
    <w:rsid w:val="00100CDF"/>
    <w:rsid w:val="00101232"/>
    <w:rsid w:val="001016B0"/>
    <w:rsid w:val="001026CD"/>
    <w:rsid w:val="001035C7"/>
    <w:rsid w:val="001040F4"/>
    <w:rsid w:val="00104525"/>
    <w:rsid w:val="00105061"/>
    <w:rsid w:val="0010550D"/>
    <w:rsid w:val="00105C5E"/>
    <w:rsid w:val="00106092"/>
    <w:rsid w:val="00106E0F"/>
    <w:rsid w:val="001078BF"/>
    <w:rsid w:val="001101AE"/>
    <w:rsid w:val="00110E79"/>
    <w:rsid w:val="00111F9D"/>
    <w:rsid w:val="0011325F"/>
    <w:rsid w:val="00113A7E"/>
    <w:rsid w:val="00113CEC"/>
    <w:rsid w:val="001164CB"/>
    <w:rsid w:val="001166CA"/>
    <w:rsid w:val="0011736D"/>
    <w:rsid w:val="0012078C"/>
    <w:rsid w:val="00120C1D"/>
    <w:rsid w:val="00120FBF"/>
    <w:rsid w:val="0012123F"/>
    <w:rsid w:val="00122A29"/>
    <w:rsid w:val="001231B8"/>
    <w:rsid w:val="001236D7"/>
    <w:rsid w:val="00123A90"/>
    <w:rsid w:val="00123CD0"/>
    <w:rsid w:val="0012419A"/>
    <w:rsid w:val="00124870"/>
    <w:rsid w:val="00124DE5"/>
    <w:rsid w:val="0012554E"/>
    <w:rsid w:val="00126858"/>
    <w:rsid w:val="00126D0B"/>
    <w:rsid w:val="001272B3"/>
    <w:rsid w:val="001319A9"/>
    <w:rsid w:val="0013256D"/>
    <w:rsid w:val="0013258D"/>
    <w:rsid w:val="00134E1E"/>
    <w:rsid w:val="00135902"/>
    <w:rsid w:val="00137E48"/>
    <w:rsid w:val="0014035F"/>
    <w:rsid w:val="0014044D"/>
    <w:rsid w:val="001406B8"/>
    <w:rsid w:val="00140DEA"/>
    <w:rsid w:val="00140E73"/>
    <w:rsid w:val="00142E30"/>
    <w:rsid w:val="001447BF"/>
    <w:rsid w:val="00144DDD"/>
    <w:rsid w:val="00145251"/>
    <w:rsid w:val="00145602"/>
    <w:rsid w:val="001459E5"/>
    <w:rsid w:val="00145C58"/>
    <w:rsid w:val="00147EDF"/>
    <w:rsid w:val="0015003F"/>
    <w:rsid w:val="001504FE"/>
    <w:rsid w:val="001507CE"/>
    <w:rsid w:val="00151D78"/>
    <w:rsid w:val="00151F6A"/>
    <w:rsid w:val="00152900"/>
    <w:rsid w:val="00152F70"/>
    <w:rsid w:val="001530B6"/>
    <w:rsid w:val="00153587"/>
    <w:rsid w:val="001546A5"/>
    <w:rsid w:val="00155D62"/>
    <w:rsid w:val="00155F1D"/>
    <w:rsid w:val="00156DCB"/>
    <w:rsid w:val="001573E8"/>
    <w:rsid w:val="001575C3"/>
    <w:rsid w:val="001579C4"/>
    <w:rsid w:val="00157D53"/>
    <w:rsid w:val="001604D6"/>
    <w:rsid w:val="0016152D"/>
    <w:rsid w:val="00161CF3"/>
    <w:rsid w:val="00162136"/>
    <w:rsid w:val="0016434B"/>
    <w:rsid w:val="0016592B"/>
    <w:rsid w:val="00166393"/>
    <w:rsid w:val="0017150D"/>
    <w:rsid w:val="001719BA"/>
    <w:rsid w:val="00172275"/>
    <w:rsid w:val="001723B6"/>
    <w:rsid w:val="00172764"/>
    <w:rsid w:val="00172ED1"/>
    <w:rsid w:val="00173EBF"/>
    <w:rsid w:val="00173FA7"/>
    <w:rsid w:val="00175747"/>
    <w:rsid w:val="00175B37"/>
    <w:rsid w:val="001761DB"/>
    <w:rsid w:val="00177577"/>
    <w:rsid w:val="00177A3F"/>
    <w:rsid w:val="00177FC9"/>
    <w:rsid w:val="0018567B"/>
    <w:rsid w:val="0018799D"/>
    <w:rsid w:val="00187E2E"/>
    <w:rsid w:val="00190501"/>
    <w:rsid w:val="00192084"/>
    <w:rsid w:val="00192AD4"/>
    <w:rsid w:val="00195105"/>
    <w:rsid w:val="00195453"/>
    <w:rsid w:val="00195D58"/>
    <w:rsid w:val="00195F02"/>
    <w:rsid w:val="00195F31"/>
    <w:rsid w:val="00196A5F"/>
    <w:rsid w:val="00197AA2"/>
    <w:rsid w:val="001A0436"/>
    <w:rsid w:val="001A0E08"/>
    <w:rsid w:val="001A112C"/>
    <w:rsid w:val="001A1A4A"/>
    <w:rsid w:val="001A1BB4"/>
    <w:rsid w:val="001A2E3D"/>
    <w:rsid w:val="001A3D26"/>
    <w:rsid w:val="001A4CC5"/>
    <w:rsid w:val="001A62B9"/>
    <w:rsid w:val="001A64FD"/>
    <w:rsid w:val="001B1248"/>
    <w:rsid w:val="001B2E6C"/>
    <w:rsid w:val="001B3645"/>
    <w:rsid w:val="001B3F60"/>
    <w:rsid w:val="001B3F7D"/>
    <w:rsid w:val="001B4387"/>
    <w:rsid w:val="001B50FC"/>
    <w:rsid w:val="001B741E"/>
    <w:rsid w:val="001B742F"/>
    <w:rsid w:val="001C00A6"/>
    <w:rsid w:val="001C013C"/>
    <w:rsid w:val="001C0482"/>
    <w:rsid w:val="001C0667"/>
    <w:rsid w:val="001C0E10"/>
    <w:rsid w:val="001C143D"/>
    <w:rsid w:val="001C1543"/>
    <w:rsid w:val="001C1671"/>
    <w:rsid w:val="001C1835"/>
    <w:rsid w:val="001C1985"/>
    <w:rsid w:val="001C2E90"/>
    <w:rsid w:val="001C32C3"/>
    <w:rsid w:val="001C387A"/>
    <w:rsid w:val="001C473E"/>
    <w:rsid w:val="001C6967"/>
    <w:rsid w:val="001C75F5"/>
    <w:rsid w:val="001D0441"/>
    <w:rsid w:val="001D0BCD"/>
    <w:rsid w:val="001D141E"/>
    <w:rsid w:val="001D2B6C"/>
    <w:rsid w:val="001D3666"/>
    <w:rsid w:val="001D5178"/>
    <w:rsid w:val="001D594F"/>
    <w:rsid w:val="001D6E9F"/>
    <w:rsid w:val="001D7272"/>
    <w:rsid w:val="001D75BA"/>
    <w:rsid w:val="001E0208"/>
    <w:rsid w:val="001E07BF"/>
    <w:rsid w:val="001E1685"/>
    <w:rsid w:val="001E20E5"/>
    <w:rsid w:val="001E31F9"/>
    <w:rsid w:val="001E3818"/>
    <w:rsid w:val="001E48D0"/>
    <w:rsid w:val="001E6462"/>
    <w:rsid w:val="001E7098"/>
    <w:rsid w:val="001E74C3"/>
    <w:rsid w:val="001F0D4A"/>
    <w:rsid w:val="001F1B3D"/>
    <w:rsid w:val="001F1CB3"/>
    <w:rsid w:val="001F29B0"/>
    <w:rsid w:val="001F3064"/>
    <w:rsid w:val="001F31AC"/>
    <w:rsid w:val="001F34D3"/>
    <w:rsid w:val="001F4004"/>
    <w:rsid w:val="001F436B"/>
    <w:rsid w:val="001F6996"/>
    <w:rsid w:val="001F6C83"/>
    <w:rsid w:val="00201754"/>
    <w:rsid w:val="00201918"/>
    <w:rsid w:val="00201994"/>
    <w:rsid w:val="0020249B"/>
    <w:rsid w:val="00202930"/>
    <w:rsid w:val="00202EAB"/>
    <w:rsid w:val="00207895"/>
    <w:rsid w:val="00207F24"/>
    <w:rsid w:val="00210F20"/>
    <w:rsid w:val="00211B36"/>
    <w:rsid w:val="00215ADE"/>
    <w:rsid w:val="00216B39"/>
    <w:rsid w:val="00217355"/>
    <w:rsid w:val="002210BC"/>
    <w:rsid w:val="0022158F"/>
    <w:rsid w:val="00222315"/>
    <w:rsid w:val="00222415"/>
    <w:rsid w:val="00222855"/>
    <w:rsid w:val="002228D2"/>
    <w:rsid w:val="002232A9"/>
    <w:rsid w:val="00223954"/>
    <w:rsid w:val="00223D24"/>
    <w:rsid w:val="002251A8"/>
    <w:rsid w:val="002252EC"/>
    <w:rsid w:val="0022557C"/>
    <w:rsid w:val="00226180"/>
    <w:rsid w:val="00230164"/>
    <w:rsid w:val="0023030C"/>
    <w:rsid w:val="002323FF"/>
    <w:rsid w:val="00232A6D"/>
    <w:rsid w:val="00234303"/>
    <w:rsid w:val="0023495A"/>
    <w:rsid w:val="0023587E"/>
    <w:rsid w:val="00236901"/>
    <w:rsid w:val="0023726F"/>
    <w:rsid w:val="0023751A"/>
    <w:rsid w:val="0024178D"/>
    <w:rsid w:val="00243FDF"/>
    <w:rsid w:val="00244A45"/>
    <w:rsid w:val="00244E18"/>
    <w:rsid w:val="00244ED8"/>
    <w:rsid w:val="0024541E"/>
    <w:rsid w:val="00245E5C"/>
    <w:rsid w:val="002470FB"/>
    <w:rsid w:val="0024778A"/>
    <w:rsid w:val="00250249"/>
    <w:rsid w:val="00252980"/>
    <w:rsid w:val="002532DD"/>
    <w:rsid w:val="00253784"/>
    <w:rsid w:val="00254181"/>
    <w:rsid w:val="00254257"/>
    <w:rsid w:val="002553ED"/>
    <w:rsid w:val="0025543F"/>
    <w:rsid w:val="002555DD"/>
    <w:rsid w:val="0025596F"/>
    <w:rsid w:val="00255EA8"/>
    <w:rsid w:val="002563E2"/>
    <w:rsid w:val="00256779"/>
    <w:rsid w:val="0025796A"/>
    <w:rsid w:val="0026029A"/>
    <w:rsid w:val="002615B3"/>
    <w:rsid w:val="002618E1"/>
    <w:rsid w:val="00261D6E"/>
    <w:rsid w:val="00263AE5"/>
    <w:rsid w:val="00264296"/>
    <w:rsid w:val="00265D63"/>
    <w:rsid w:val="00266B90"/>
    <w:rsid w:val="00266F8A"/>
    <w:rsid w:val="002679F5"/>
    <w:rsid w:val="00270118"/>
    <w:rsid w:val="0027130A"/>
    <w:rsid w:val="00273736"/>
    <w:rsid w:val="00273796"/>
    <w:rsid w:val="002739C9"/>
    <w:rsid w:val="002748F0"/>
    <w:rsid w:val="0027519D"/>
    <w:rsid w:val="00276D16"/>
    <w:rsid w:val="0027707C"/>
    <w:rsid w:val="0027727A"/>
    <w:rsid w:val="002779B2"/>
    <w:rsid w:val="00277AD7"/>
    <w:rsid w:val="002800C9"/>
    <w:rsid w:val="00281144"/>
    <w:rsid w:val="002817E1"/>
    <w:rsid w:val="00281DFF"/>
    <w:rsid w:val="0028262C"/>
    <w:rsid w:val="002828FA"/>
    <w:rsid w:val="00282FDD"/>
    <w:rsid w:val="00283608"/>
    <w:rsid w:val="00283AFB"/>
    <w:rsid w:val="00285B3C"/>
    <w:rsid w:val="00286E2F"/>
    <w:rsid w:val="00291DCF"/>
    <w:rsid w:val="002926CA"/>
    <w:rsid w:val="00292E24"/>
    <w:rsid w:val="00294F66"/>
    <w:rsid w:val="002952E9"/>
    <w:rsid w:val="00295848"/>
    <w:rsid w:val="00295BE2"/>
    <w:rsid w:val="00295F20"/>
    <w:rsid w:val="00297DD2"/>
    <w:rsid w:val="002A0951"/>
    <w:rsid w:val="002A0D61"/>
    <w:rsid w:val="002A41E6"/>
    <w:rsid w:val="002A456E"/>
    <w:rsid w:val="002A48A4"/>
    <w:rsid w:val="002A554B"/>
    <w:rsid w:val="002A79EF"/>
    <w:rsid w:val="002A7BF0"/>
    <w:rsid w:val="002B1909"/>
    <w:rsid w:val="002B347F"/>
    <w:rsid w:val="002B379E"/>
    <w:rsid w:val="002B4254"/>
    <w:rsid w:val="002B4412"/>
    <w:rsid w:val="002B5266"/>
    <w:rsid w:val="002B5482"/>
    <w:rsid w:val="002B570C"/>
    <w:rsid w:val="002B6A6C"/>
    <w:rsid w:val="002B6AE3"/>
    <w:rsid w:val="002B74D7"/>
    <w:rsid w:val="002B7CBC"/>
    <w:rsid w:val="002C002F"/>
    <w:rsid w:val="002C1406"/>
    <w:rsid w:val="002C238E"/>
    <w:rsid w:val="002C2E8E"/>
    <w:rsid w:val="002C3CB7"/>
    <w:rsid w:val="002C44A0"/>
    <w:rsid w:val="002C45C1"/>
    <w:rsid w:val="002C465B"/>
    <w:rsid w:val="002C5407"/>
    <w:rsid w:val="002C578B"/>
    <w:rsid w:val="002C5EDC"/>
    <w:rsid w:val="002C7099"/>
    <w:rsid w:val="002C7F04"/>
    <w:rsid w:val="002D09C9"/>
    <w:rsid w:val="002D0B10"/>
    <w:rsid w:val="002D12B9"/>
    <w:rsid w:val="002D1C8D"/>
    <w:rsid w:val="002D3160"/>
    <w:rsid w:val="002D362F"/>
    <w:rsid w:val="002D3A41"/>
    <w:rsid w:val="002D4071"/>
    <w:rsid w:val="002D51B8"/>
    <w:rsid w:val="002D526E"/>
    <w:rsid w:val="002D6148"/>
    <w:rsid w:val="002D64E3"/>
    <w:rsid w:val="002D6978"/>
    <w:rsid w:val="002D6CB0"/>
    <w:rsid w:val="002D6FF0"/>
    <w:rsid w:val="002D7269"/>
    <w:rsid w:val="002D7A81"/>
    <w:rsid w:val="002D7B2A"/>
    <w:rsid w:val="002E22BE"/>
    <w:rsid w:val="002E33C5"/>
    <w:rsid w:val="002E4741"/>
    <w:rsid w:val="002E4E02"/>
    <w:rsid w:val="002E68D1"/>
    <w:rsid w:val="002E6AA6"/>
    <w:rsid w:val="002E6E1D"/>
    <w:rsid w:val="002F00DB"/>
    <w:rsid w:val="002F0CB7"/>
    <w:rsid w:val="002F1ED8"/>
    <w:rsid w:val="002F2C7E"/>
    <w:rsid w:val="002F3115"/>
    <w:rsid w:val="002F3B53"/>
    <w:rsid w:val="002F4E07"/>
    <w:rsid w:val="002F5734"/>
    <w:rsid w:val="002F7942"/>
    <w:rsid w:val="00300FAA"/>
    <w:rsid w:val="00304D88"/>
    <w:rsid w:val="00305244"/>
    <w:rsid w:val="00305CC7"/>
    <w:rsid w:val="0030635C"/>
    <w:rsid w:val="00306C97"/>
    <w:rsid w:val="00307692"/>
    <w:rsid w:val="00311890"/>
    <w:rsid w:val="00312714"/>
    <w:rsid w:val="00312EDD"/>
    <w:rsid w:val="00314F2C"/>
    <w:rsid w:val="00314FDB"/>
    <w:rsid w:val="00315FFA"/>
    <w:rsid w:val="0031654C"/>
    <w:rsid w:val="00316AA8"/>
    <w:rsid w:val="00317399"/>
    <w:rsid w:val="00317541"/>
    <w:rsid w:val="003209B2"/>
    <w:rsid w:val="00322598"/>
    <w:rsid w:val="00323A21"/>
    <w:rsid w:val="0032422D"/>
    <w:rsid w:val="003252D5"/>
    <w:rsid w:val="0032611B"/>
    <w:rsid w:val="00326C69"/>
    <w:rsid w:val="0033005A"/>
    <w:rsid w:val="00334D40"/>
    <w:rsid w:val="0033506C"/>
    <w:rsid w:val="003370D4"/>
    <w:rsid w:val="0033710D"/>
    <w:rsid w:val="00340EDC"/>
    <w:rsid w:val="0034171A"/>
    <w:rsid w:val="00342C0D"/>
    <w:rsid w:val="00342CE7"/>
    <w:rsid w:val="003440E9"/>
    <w:rsid w:val="0034459E"/>
    <w:rsid w:val="00344C6D"/>
    <w:rsid w:val="00344D95"/>
    <w:rsid w:val="003474F3"/>
    <w:rsid w:val="00347757"/>
    <w:rsid w:val="0034792C"/>
    <w:rsid w:val="00347C87"/>
    <w:rsid w:val="00347CA9"/>
    <w:rsid w:val="0035022C"/>
    <w:rsid w:val="0035088D"/>
    <w:rsid w:val="00350DB1"/>
    <w:rsid w:val="003513B4"/>
    <w:rsid w:val="00351DFB"/>
    <w:rsid w:val="0035223D"/>
    <w:rsid w:val="003537EC"/>
    <w:rsid w:val="003541B3"/>
    <w:rsid w:val="00354B00"/>
    <w:rsid w:val="0035700A"/>
    <w:rsid w:val="003573C4"/>
    <w:rsid w:val="00360A26"/>
    <w:rsid w:val="00360A7F"/>
    <w:rsid w:val="00361334"/>
    <w:rsid w:val="00361846"/>
    <w:rsid w:val="00362483"/>
    <w:rsid w:val="00362C68"/>
    <w:rsid w:val="0036336E"/>
    <w:rsid w:val="00363FBD"/>
    <w:rsid w:val="0036470A"/>
    <w:rsid w:val="00365411"/>
    <w:rsid w:val="0036544B"/>
    <w:rsid w:val="00367EA6"/>
    <w:rsid w:val="00371E9B"/>
    <w:rsid w:val="00372D99"/>
    <w:rsid w:val="00374A8E"/>
    <w:rsid w:val="00375622"/>
    <w:rsid w:val="00375722"/>
    <w:rsid w:val="00376E51"/>
    <w:rsid w:val="00380732"/>
    <w:rsid w:val="00380BDC"/>
    <w:rsid w:val="00382277"/>
    <w:rsid w:val="00383471"/>
    <w:rsid w:val="003837AB"/>
    <w:rsid w:val="00384D17"/>
    <w:rsid w:val="00385CB4"/>
    <w:rsid w:val="00386128"/>
    <w:rsid w:val="003865EF"/>
    <w:rsid w:val="00387CCF"/>
    <w:rsid w:val="0039048E"/>
    <w:rsid w:val="00391E89"/>
    <w:rsid w:val="003924C0"/>
    <w:rsid w:val="00392CE5"/>
    <w:rsid w:val="0039357A"/>
    <w:rsid w:val="00393659"/>
    <w:rsid w:val="003936ED"/>
    <w:rsid w:val="00395AEA"/>
    <w:rsid w:val="00395DD7"/>
    <w:rsid w:val="00397330"/>
    <w:rsid w:val="003976EA"/>
    <w:rsid w:val="0039796B"/>
    <w:rsid w:val="00397EE4"/>
    <w:rsid w:val="003A0038"/>
    <w:rsid w:val="003A072B"/>
    <w:rsid w:val="003A10DF"/>
    <w:rsid w:val="003A16F5"/>
    <w:rsid w:val="003A1AF4"/>
    <w:rsid w:val="003A1F01"/>
    <w:rsid w:val="003A2AC4"/>
    <w:rsid w:val="003A3BB9"/>
    <w:rsid w:val="003A4256"/>
    <w:rsid w:val="003A54AE"/>
    <w:rsid w:val="003B0B3D"/>
    <w:rsid w:val="003B0E83"/>
    <w:rsid w:val="003B1AC6"/>
    <w:rsid w:val="003B1C81"/>
    <w:rsid w:val="003B21BD"/>
    <w:rsid w:val="003B268B"/>
    <w:rsid w:val="003B3DCB"/>
    <w:rsid w:val="003B50DE"/>
    <w:rsid w:val="003B52BD"/>
    <w:rsid w:val="003B6ECA"/>
    <w:rsid w:val="003B76D0"/>
    <w:rsid w:val="003B798C"/>
    <w:rsid w:val="003C1679"/>
    <w:rsid w:val="003C29A0"/>
    <w:rsid w:val="003C2CC6"/>
    <w:rsid w:val="003C4A92"/>
    <w:rsid w:val="003C4D91"/>
    <w:rsid w:val="003C5D43"/>
    <w:rsid w:val="003C6D14"/>
    <w:rsid w:val="003C709D"/>
    <w:rsid w:val="003C7217"/>
    <w:rsid w:val="003D178F"/>
    <w:rsid w:val="003D3996"/>
    <w:rsid w:val="003D79F0"/>
    <w:rsid w:val="003D7C71"/>
    <w:rsid w:val="003E0223"/>
    <w:rsid w:val="003E0326"/>
    <w:rsid w:val="003E0CA1"/>
    <w:rsid w:val="003E101E"/>
    <w:rsid w:val="003E10E8"/>
    <w:rsid w:val="003E3AE1"/>
    <w:rsid w:val="003E3CCF"/>
    <w:rsid w:val="003E3DD5"/>
    <w:rsid w:val="003E50C2"/>
    <w:rsid w:val="003E5FAB"/>
    <w:rsid w:val="003E69E6"/>
    <w:rsid w:val="003E6BE7"/>
    <w:rsid w:val="003E7208"/>
    <w:rsid w:val="003E7A77"/>
    <w:rsid w:val="003E7BC1"/>
    <w:rsid w:val="003E7C62"/>
    <w:rsid w:val="003F088B"/>
    <w:rsid w:val="003F0DC2"/>
    <w:rsid w:val="003F1E70"/>
    <w:rsid w:val="003F31E9"/>
    <w:rsid w:val="003F37AC"/>
    <w:rsid w:val="003F3AC6"/>
    <w:rsid w:val="003F4646"/>
    <w:rsid w:val="003F4CBE"/>
    <w:rsid w:val="003F5A9F"/>
    <w:rsid w:val="003F5C28"/>
    <w:rsid w:val="003F6008"/>
    <w:rsid w:val="003F6373"/>
    <w:rsid w:val="003F6F5F"/>
    <w:rsid w:val="00400F63"/>
    <w:rsid w:val="0040167D"/>
    <w:rsid w:val="0040217A"/>
    <w:rsid w:val="00403698"/>
    <w:rsid w:val="00404894"/>
    <w:rsid w:val="0041121C"/>
    <w:rsid w:val="0041200D"/>
    <w:rsid w:val="004139B3"/>
    <w:rsid w:val="00414DF7"/>
    <w:rsid w:val="00416D5D"/>
    <w:rsid w:val="00417229"/>
    <w:rsid w:val="00417289"/>
    <w:rsid w:val="00420D53"/>
    <w:rsid w:val="00421D2D"/>
    <w:rsid w:val="00421EE1"/>
    <w:rsid w:val="00422460"/>
    <w:rsid w:val="004224FB"/>
    <w:rsid w:val="00423463"/>
    <w:rsid w:val="004241C0"/>
    <w:rsid w:val="00425518"/>
    <w:rsid w:val="00425D0C"/>
    <w:rsid w:val="00425E13"/>
    <w:rsid w:val="00426A1A"/>
    <w:rsid w:val="00426E47"/>
    <w:rsid w:val="0042778F"/>
    <w:rsid w:val="00427E60"/>
    <w:rsid w:val="0043135E"/>
    <w:rsid w:val="00432D2C"/>
    <w:rsid w:val="00435A90"/>
    <w:rsid w:val="00435BC0"/>
    <w:rsid w:val="00436C8F"/>
    <w:rsid w:val="00436D76"/>
    <w:rsid w:val="004372A1"/>
    <w:rsid w:val="004401E7"/>
    <w:rsid w:val="00440A3C"/>
    <w:rsid w:val="00440C8F"/>
    <w:rsid w:val="00443E17"/>
    <w:rsid w:val="004448F0"/>
    <w:rsid w:val="00445C58"/>
    <w:rsid w:val="00445E36"/>
    <w:rsid w:val="00446C8D"/>
    <w:rsid w:val="00447175"/>
    <w:rsid w:val="00450ABD"/>
    <w:rsid w:val="00450E60"/>
    <w:rsid w:val="00450ED6"/>
    <w:rsid w:val="004515CC"/>
    <w:rsid w:val="00451744"/>
    <w:rsid w:val="00451D71"/>
    <w:rsid w:val="004525DD"/>
    <w:rsid w:val="00452E5C"/>
    <w:rsid w:val="00453AF1"/>
    <w:rsid w:val="00453CE6"/>
    <w:rsid w:val="00453ED0"/>
    <w:rsid w:val="00455F9D"/>
    <w:rsid w:val="00456C29"/>
    <w:rsid w:val="0046024A"/>
    <w:rsid w:val="004603FC"/>
    <w:rsid w:val="004624B4"/>
    <w:rsid w:val="004643F0"/>
    <w:rsid w:val="00465332"/>
    <w:rsid w:val="0046755A"/>
    <w:rsid w:val="0047088B"/>
    <w:rsid w:val="0047099C"/>
    <w:rsid w:val="00471FFC"/>
    <w:rsid w:val="0047222F"/>
    <w:rsid w:val="00474318"/>
    <w:rsid w:val="00474B8C"/>
    <w:rsid w:val="00474D0E"/>
    <w:rsid w:val="00474E21"/>
    <w:rsid w:val="004753A9"/>
    <w:rsid w:val="00475791"/>
    <w:rsid w:val="00475BF5"/>
    <w:rsid w:val="00477814"/>
    <w:rsid w:val="00480017"/>
    <w:rsid w:val="0048005D"/>
    <w:rsid w:val="00480928"/>
    <w:rsid w:val="0048113C"/>
    <w:rsid w:val="00481496"/>
    <w:rsid w:val="00481AC6"/>
    <w:rsid w:val="00484137"/>
    <w:rsid w:val="00484E9B"/>
    <w:rsid w:val="00491404"/>
    <w:rsid w:val="00491732"/>
    <w:rsid w:val="004926C5"/>
    <w:rsid w:val="00494CD2"/>
    <w:rsid w:val="00494D32"/>
    <w:rsid w:val="00495E51"/>
    <w:rsid w:val="00496009"/>
    <w:rsid w:val="00496382"/>
    <w:rsid w:val="00496ED1"/>
    <w:rsid w:val="004A1E4C"/>
    <w:rsid w:val="004A215C"/>
    <w:rsid w:val="004A348C"/>
    <w:rsid w:val="004A4EEB"/>
    <w:rsid w:val="004A547A"/>
    <w:rsid w:val="004A598D"/>
    <w:rsid w:val="004A5B92"/>
    <w:rsid w:val="004A6C76"/>
    <w:rsid w:val="004B07E5"/>
    <w:rsid w:val="004B22AE"/>
    <w:rsid w:val="004B3A72"/>
    <w:rsid w:val="004B4015"/>
    <w:rsid w:val="004B63E6"/>
    <w:rsid w:val="004B741B"/>
    <w:rsid w:val="004B7612"/>
    <w:rsid w:val="004C197F"/>
    <w:rsid w:val="004C1ECD"/>
    <w:rsid w:val="004C2262"/>
    <w:rsid w:val="004C3690"/>
    <w:rsid w:val="004C3B24"/>
    <w:rsid w:val="004C40E1"/>
    <w:rsid w:val="004C522D"/>
    <w:rsid w:val="004C6049"/>
    <w:rsid w:val="004C76EF"/>
    <w:rsid w:val="004D08E2"/>
    <w:rsid w:val="004D0A21"/>
    <w:rsid w:val="004D2389"/>
    <w:rsid w:val="004D2447"/>
    <w:rsid w:val="004D24FD"/>
    <w:rsid w:val="004D279F"/>
    <w:rsid w:val="004D27DB"/>
    <w:rsid w:val="004D3452"/>
    <w:rsid w:val="004D475F"/>
    <w:rsid w:val="004D4C63"/>
    <w:rsid w:val="004D4F58"/>
    <w:rsid w:val="004D5D00"/>
    <w:rsid w:val="004D6E81"/>
    <w:rsid w:val="004D6FC6"/>
    <w:rsid w:val="004D79A1"/>
    <w:rsid w:val="004D7A47"/>
    <w:rsid w:val="004D7B29"/>
    <w:rsid w:val="004E4D68"/>
    <w:rsid w:val="004E5DE9"/>
    <w:rsid w:val="004E7592"/>
    <w:rsid w:val="004E75F6"/>
    <w:rsid w:val="004E78F9"/>
    <w:rsid w:val="004E79A2"/>
    <w:rsid w:val="004E7E43"/>
    <w:rsid w:val="004F00D6"/>
    <w:rsid w:val="004F1920"/>
    <w:rsid w:val="004F2520"/>
    <w:rsid w:val="004F31F5"/>
    <w:rsid w:val="004F3CD5"/>
    <w:rsid w:val="004F50B2"/>
    <w:rsid w:val="004F5C3C"/>
    <w:rsid w:val="004F721E"/>
    <w:rsid w:val="004F799C"/>
    <w:rsid w:val="004F7BC9"/>
    <w:rsid w:val="005001B2"/>
    <w:rsid w:val="0050076B"/>
    <w:rsid w:val="0050107B"/>
    <w:rsid w:val="00501F97"/>
    <w:rsid w:val="005020E7"/>
    <w:rsid w:val="005027A7"/>
    <w:rsid w:val="00502C3D"/>
    <w:rsid w:val="00503506"/>
    <w:rsid w:val="005036B2"/>
    <w:rsid w:val="0050375C"/>
    <w:rsid w:val="00504A91"/>
    <w:rsid w:val="00505F44"/>
    <w:rsid w:val="00506CC6"/>
    <w:rsid w:val="00506DB3"/>
    <w:rsid w:val="00507278"/>
    <w:rsid w:val="00507B30"/>
    <w:rsid w:val="00511217"/>
    <w:rsid w:val="005131D1"/>
    <w:rsid w:val="00513D9B"/>
    <w:rsid w:val="0051402D"/>
    <w:rsid w:val="005149F7"/>
    <w:rsid w:val="00514AC4"/>
    <w:rsid w:val="00515461"/>
    <w:rsid w:val="0051602C"/>
    <w:rsid w:val="00516262"/>
    <w:rsid w:val="00516CB7"/>
    <w:rsid w:val="00517068"/>
    <w:rsid w:val="005209A1"/>
    <w:rsid w:val="00521758"/>
    <w:rsid w:val="00521A53"/>
    <w:rsid w:val="005227D0"/>
    <w:rsid w:val="00522B98"/>
    <w:rsid w:val="00523033"/>
    <w:rsid w:val="005236B1"/>
    <w:rsid w:val="00523CAF"/>
    <w:rsid w:val="00523D48"/>
    <w:rsid w:val="00525318"/>
    <w:rsid w:val="00525419"/>
    <w:rsid w:val="005257A0"/>
    <w:rsid w:val="00525F39"/>
    <w:rsid w:val="00526741"/>
    <w:rsid w:val="00526E67"/>
    <w:rsid w:val="005274AC"/>
    <w:rsid w:val="00527A37"/>
    <w:rsid w:val="00527C5E"/>
    <w:rsid w:val="00530492"/>
    <w:rsid w:val="00530865"/>
    <w:rsid w:val="0053135A"/>
    <w:rsid w:val="0053186A"/>
    <w:rsid w:val="00532F3B"/>
    <w:rsid w:val="005336D8"/>
    <w:rsid w:val="00533A70"/>
    <w:rsid w:val="00535C10"/>
    <w:rsid w:val="005363FD"/>
    <w:rsid w:val="00536A0D"/>
    <w:rsid w:val="005412BF"/>
    <w:rsid w:val="00542ABB"/>
    <w:rsid w:val="005440E5"/>
    <w:rsid w:val="00544B19"/>
    <w:rsid w:val="00544FC3"/>
    <w:rsid w:val="005454CF"/>
    <w:rsid w:val="0054573C"/>
    <w:rsid w:val="00545A1E"/>
    <w:rsid w:val="00545A8D"/>
    <w:rsid w:val="00545DE3"/>
    <w:rsid w:val="0054644D"/>
    <w:rsid w:val="00547C9E"/>
    <w:rsid w:val="00550BB8"/>
    <w:rsid w:val="005531B7"/>
    <w:rsid w:val="0055361B"/>
    <w:rsid w:val="00553B31"/>
    <w:rsid w:val="00553CF2"/>
    <w:rsid w:val="005542EE"/>
    <w:rsid w:val="0055449F"/>
    <w:rsid w:val="00554BD6"/>
    <w:rsid w:val="00554FEB"/>
    <w:rsid w:val="00556212"/>
    <w:rsid w:val="00556ACC"/>
    <w:rsid w:val="0055748B"/>
    <w:rsid w:val="00557913"/>
    <w:rsid w:val="00557994"/>
    <w:rsid w:val="005604F7"/>
    <w:rsid w:val="0056094F"/>
    <w:rsid w:val="00563B42"/>
    <w:rsid w:val="00563B67"/>
    <w:rsid w:val="005646C4"/>
    <w:rsid w:val="00564A36"/>
    <w:rsid w:val="00565212"/>
    <w:rsid w:val="0056592D"/>
    <w:rsid w:val="00565F76"/>
    <w:rsid w:val="00566343"/>
    <w:rsid w:val="0056652D"/>
    <w:rsid w:val="005669DE"/>
    <w:rsid w:val="00570507"/>
    <w:rsid w:val="00570F93"/>
    <w:rsid w:val="00570FE9"/>
    <w:rsid w:val="005717CD"/>
    <w:rsid w:val="005719A7"/>
    <w:rsid w:val="00572B30"/>
    <w:rsid w:val="005732F7"/>
    <w:rsid w:val="0057675D"/>
    <w:rsid w:val="00577A3F"/>
    <w:rsid w:val="0058017D"/>
    <w:rsid w:val="00581DAC"/>
    <w:rsid w:val="00582457"/>
    <w:rsid w:val="005829EF"/>
    <w:rsid w:val="0058308C"/>
    <w:rsid w:val="00584867"/>
    <w:rsid w:val="005856F6"/>
    <w:rsid w:val="0058638B"/>
    <w:rsid w:val="00587DAF"/>
    <w:rsid w:val="005909CD"/>
    <w:rsid w:val="00590E1B"/>
    <w:rsid w:val="00591058"/>
    <w:rsid w:val="005913CA"/>
    <w:rsid w:val="00592804"/>
    <w:rsid w:val="00592D5A"/>
    <w:rsid w:val="0059350E"/>
    <w:rsid w:val="00593D58"/>
    <w:rsid w:val="005958AA"/>
    <w:rsid w:val="0059603D"/>
    <w:rsid w:val="00596B7F"/>
    <w:rsid w:val="00597737"/>
    <w:rsid w:val="005A0265"/>
    <w:rsid w:val="005A1EAC"/>
    <w:rsid w:val="005A2AB9"/>
    <w:rsid w:val="005A4155"/>
    <w:rsid w:val="005A41F6"/>
    <w:rsid w:val="005A5244"/>
    <w:rsid w:val="005A5B97"/>
    <w:rsid w:val="005A5CDD"/>
    <w:rsid w:val="005A7131"/>
    <w:rsid w:val="005A7392"/>
    <w:rsid w:val="005B00A9"/>
    <w:rsid w:val="005B016A"/>
    <w:rsid w:val="005B01B6"/>
    <w:rsid w:val="005B1A45"/>
    <w:rsid w:val="005B28CE"/>
    <w:rsid w:val="005B28E5"/>
    <w:rsid w:val="005B31FA"/>
    <w:rsid w:val="005B3F1D"/>
    <w:rsid w:val="005B4C27"/>
    <w:rsid w:val="005B5324"/>
    <w:rsid w:val="005B56CA"/>
    <w:rsid w:val="005B5F5E"/>
    <w:rsid w:val="005B68EE"/>
    <w:rsid w:val="005B6D69"/>
    <w:rsid w:val="005B7446"/>
    <w:rsid w:val="005B7E8E"/>
    <w:rsid w:val="005C00FB"/>
    <w:rsid w:val="005C13E0"/>
    <w:rsid w:val="005C3BB1"/>
    <w:rsid w:val="005C3CE5"/>
    <w:rsid w:val="005C3F59"/>
    <w:rsid w:val="005C4392"/>
    <w:rsid w:val="005C4DF0"/>
    <w:rsid w:val="005C7C17"/>
    <w:rsid w:val="005D057C"/>
    <w:rsid w:val="005D10B5"/>
    <w:rsid w:val="005D1321"/>
    <w:rsid w:val="005D32DE"/>
    <w:rsid w:val="005D4FA3"/>
    <w:rsid w:val="005D6747"/>
    <w:rsid w:val="005E00C0"/>
    <w:rsid w:val="005E0C0B"/>
    <w:rsid w:val="005E0D82"/>
    <w:rsid w:val="005E1DF2"/>
    <w:rsid w:val="005E2047"/>
    <w:rsid w:val="005E20D3"/>
    <w:rsid w:val="005E2AC0"/>
    <w:rsid w:val="005E38A1"/>
    <w:rsid w:val="005E4262"/>
    <w:rsid w:val="005E4A56"/>
    <w:rsid w:val="005E78AC"/>
    <w:rsid w:val="005F0AE6"/>
    <w:rsid w:val="005F2036"/>
    <w:rsid w:val="005F36BC"/>
    <w:rsid w:val="005F527C"/>
    <w:rsid w:val="005F571F"/>
    <w:rsid w:val="005F676C"/>
    <w:rsid w:val="006001BD"/>
    <w:rsid w:val="00600507"/>
    <w:rsid w:val="00600D7E"/>
    <w:rsid w:val="00603DE4"/>
    <w:rsid w:val="00604DA7"/>
    <w:rsid w:val="006069DE"/>
    <w:rsid w:val="0060770E"/>
    <w:rsid w:val="00607E8F"/>
    <w:rsid w:val="006108D9"/>
    <w:rsid w:val="0061151A"/>
    <w:rsid w:val="00612380"/>
    <w:rsid w:val="006123A9"/>
    <w:rsid w:val="00612613"/>
    <w:rsid w:val="00613058"/>
    <w:rsid w:val="00614D02"/>
    <w:rsid w:val="00615D63"/>
    <w:rsid w:val="00615FAD"/>
    <w:rsid w:val="00616427"/>
    <w:rsid w:val="00617396"/>
    <w:rsid w:val="0061786C"/>
    <w:rsid w:val="006208DA"/>
    <w:rsid w:val="00620DA7"/>
    <w:rsid w:val="006236E2"/>
    <w:rsid w:val="00625140"/>
    <w:rsid w:val="00625281"/>
    <w:rsid w:val="006262A1"/>
    <w:rsid w:val="00626FB7"/>
    <w:rsid w:val="006274F7"/>
    <w:rsid w:val="00630ADC"/>
    <w:rsid w:val="00630B8B"/>
    <w:rsid w:val="00631448"/>
    <w:rsid w:val="006318CE"/>
    <w:rsid w:val="0063255E"/>
    <w:rsid w:val="00633BDE"/>
    <w:rsid w:val="006343A6"/>
    <w:rsid w:val="00635041"/>
    <w:rsid w:val="006354BD"/>
    <w:rsid w:val="00635878"/>
    <w:rsid w:val="00635B48"/>
    <w:rsid w:val="00635D19"/>
    <w:rsid w:val="00637172"/>
    <w:rsid w:val="00637BB0"/>
    <w:rsid w:val="00640D7A"/>
    <w:rsid w:val="00640F60"/>
    <w:rsid w:val="006420A5"/>
    <w:rsid w:val="00642948"/>
    <w:rsid w:val="00643E39"/>
    <w:rsid w:val="00646C14"/>
    <w:rsid w:val="00647821"/>
    <w:rsid w:val="006514AB"/>
    <w:rsid w:val="00651573"/>
    <w:rsid w:val="006521B7"/>
    <w:rsid w:val="00652642"/>
    <w:rsid w:val="006527A0"/>
    <w:rsid w:val="00653B33"/>
    <w:rsid w:val="00654EAA"/>
    <w:rsid w:val="00655445"/>
    <w:rsid w:val="00655C00"/>
    <w:rsid w:val="0065661C"/>
    <w:rsid w:val="00661718"/>
    <w:rsid w:val="00663166"/>
    <w:rsid w:val="0066480F"/>
    <w:rsid w:val="00664F5F"/>
    <w:rsid w:val="00666B29"/>
    <w:rsid w:val="006679F3"/>
    <w:rsid w:val="00670B83"/>
    <w:rsid w:val="00670D23"/>
    <w:rsid w:val="00670DEA"/>
    <w:rsid w:val="00673217"/>
    <w:rsid w:val="00673D33"/>
    <w:rsid w:val="00674212"/>
    <w:rsid w:val="0067427F"/>
    <w:rsid w:val="00675E9F"/>
    <w:rsid w:val="0067622C"/>
    <w:rsid w:val="006765A4"/>
    <w:rsid w:val="00676EE8"/>
    <w:rsid w:val="00677091"/>
    <w:rsid w:val="006775F5"/>
    <w:rsid w:val="00677621"/>
    <w:rsid w:val="006776BE"/>
    <w:rsid w:val="006813C4"/>
    <w:rsid w:val="00681604"/>
    <w:rsid w:val="0068176D"/>
    <w:rsid w:val="00681A8C"/>
    <w:rsid w:val="00683728"/>
    <w:rsid w:val="00683F0C"/>
    <w:rsid w:val="006845F9"/>
    <w:rsid w:val="00684C0D"/>
    <w:rsid w:val="006851C0"/>
    <w:rsid w:val="006869EB"/>
    <w:rsid w:val="00686DDB"/>
    <w:rsid w:val="00690AD0"/>
    <w:rsid w:val="0069127B"/>
    <w:rsid w:val="006919BA"/>
    <w:rsid w:val="006919C7"/>
    <w:rsid w:val="00695C22"/>
    <w:rsid w:val="00695F87"/>
    <w:rsid w:val="006A20DD"/>
    <w:rsid w:val="006A2150"/>
    <w:rsid w:val="006A32FB"/>
    <w:rsid w:val="006A5283"/>
    <w:rsid w:val="006A570E"/>
    <w:rsid w:val="006A5A3D"/>
    <w:rsid w:val="006A6F0F"/>
    <w:rsid w:val="006A7CB1"/>
    <w:rsid w:val="006B0788"/>
    <w:rsid w:val="006B08B3"/>
    <w:rsid w:val="006B14F3"/>
    <w:rsid w:val="006B1944"/>
    <w:rsid w:val="006B1D1B"/>
    <w:rsid w:val="006B20E7"/>
    <w:rsid w:val="006B24CF"/>
    <w:rsid w:val="006B253F"/>
    <w:rsid w:val="006B2D43"/>
    <w:rsid w:val="006B3396"/>
    <w:rsid w:val="006B39DC"/>
    <w:rsid w:val="006B3CAE"/>
    <w:rsid w:val="006B5310"/>
    <w:rsid w:val="006B6CE1"/>
    <w:rsid w:val="006C01DC"/>
    <w:rsid w:val="006C3C3C"/>
    <w:rsid w:val="006C5A4D"/>
    <w:rsid w:val="006C685B"/>
    <w:rsid w:val="006D103F"/>
    <w:rsid w:val="006D4152"/>
    <w:rsid w:val="006D57D0"/>
    <w:rsid w:val="006D6096"/>
    <w:rsid w:val="006E036E"/>
    <w:rsid w:val="006E1339"/>
    <w:rsid w:val="006E2508"/>
    <w:rsid w:val="006E480C"/>
    <w:rsid w:val="006E5312"/>
    <w:rsid w:val="006E5B1B"/>
    <w:rsid w:val="006E6C8A"/>
    <w:rsid w:val="006E706B"/>
    <w:rsid w:val="006F055F"/>
    <w:rsid w:val="006F08D0"/>
    <w:rsid w:val="006F09BF"/>
    <w:rsid w:val="006F1A60"/>
    <w:rsid w:val="006F1CCA"/>
    <w:rsid w:val="006F2295"/>
    <w:rsid w:val="006F2CCC"/>
    <w:rsid w:val="006F3019"/>
    <w:rsid w:val="006F370D"/>
    <w:rsid w:val="006F41DE"/>
    <w:rsid w:val="00700385"/>
    <w:rsid w:val="0070233A"/>
    <w:rsid w:val="00702D55"/>
    <w:rsid w:val="00703709"/>
    <w:rsid w:val="007046C8"/>
    <w:rsid w:val="00705BF3"/>
    <w:rsid w:val="00706C24"/>
    <w:rsid w:val="00706D87"/>
    <w:rsid w:val="00707274"/>
    <w:rsid w:val="00710125"/>
    <w:rsid w:val="007106B0"/>
    <w:rsid w:val="00710CC0"/>
    <w:rsid w:val="00711013"/>
    <w:rsid w:val="00711028"/>
    <w:rsid w:val="00711464"/>
    <w:rsid w:val="007116DB"/>
    <w:rsid w:val="0071176B"/>
    <w:rsid w:val="00711B61"/>
    <w:rsid w:val="007124A6"/>
    <w:rsid w:val="007126CC"/>
    <w:rsid w:val="0071363E"/>
    <w:rsid w:val="00714724"/>
    <w:rsid w:val="007154C5"/>
    <w:rsid w:val="007155D5"/>
    <w:rsid w:val="0071588E"/>
    <w:rsid w:val="0071595A"/>
    <w:rsid w:val="00715AA4"/>
    <w:rsid w:val="007168B5"/>
    <w:rsid w:val="00716C74"/>
    <w:rsid w:val="00717500"/>
    <w:rsid w:val="00725FA9"/>
    <w:rsid w:val="00726E40"/>
    <w:rsid w:val="0072710F"/>
    <w:rsid w:val="007275A3"/>
    <w:rsid w:val="007278F4"/>
    <w:rsid w:val="00730139"/>
    <w:rsid w:val="0073022D"/>
    <w:rsid w:val="00730723"/>
    <w:rsid w:val="00732604"/>
    <w:rsid w:val="00734ED3"/>
    <w:rsid w:val="00734F09"/>
    <w:rsid w:val="00735840"/>
    <w:rsid w:val="00735BDA"/>
    <w:rsid w:val="00736A4F"/>
    <w:rsid w:val="00737238"/>
    <w:rsid w:val="00737E2A"/>
    <w:rsid w:val="00740C3B"/>
    <w:rsid w:val="007411A4"/>
    <w:rsid w:val="00741AC9"/>
    <w:rsid w:val="0074277B"/>
    <w:rsid w:val="00743688"/>
    <w:rsid w:val="007439A3"/>
    <w:rsid w:val="00744A3F"/>
    <w:rsid w:val="00744EEC"/>
    <w:rsid w:val="00746D0E"/>
    <w:rsid w:val="00752BC1"/>
    <w:rsid w:val="00752E8A"/>
    <w:rsid w:val="00756B44"/>
    <w:rsid w:val="0075794F"/>
    <w:rsid w:val="0076084A"/>
    <w:rsid w:val="00761373"/>
    <w:rsid w:val="007621E0"/>
    <w:rsid w:val="00762653"/>
    <w:rsid w:val="00764364"/>
    <w:rsid w:val="00765073"/>
    <w:rsid w:val="007653EA"/>
    <w:rsid w:val="00765CA8"/>
    <w:rsid w:val="00765D81"/>
    <w:rsid w:val="0076779B"/>
    <w:rsid w:val="007679F2"/>
    <w:rsid w:val="00770ECD"/>
    <w:rsid w:val="007726D2"/>
    <w:rsid w:val="0077299E"/>
    <w:rsid w:val="0077385C"/>
    <w:rsid w:val="00774362"/>
    <w:rsid w:val="0077475F"/>
    <w:rsid w:val="007755C7"/>
    <w:rsid w:val="007759A4"/>
    <w:rsid w:val="00775AC1"/>
    <w:rsid w:val="00776B3F"/>
    <w:rsid w:val="00776EAE"/>
    <w:rsid w:val="007779E9"/>
    <w:rsid w:val="00777A3F"/>
    <w:rsid w:val="00781531"/>
    <w:rsid w:val="00781555"/>
    <w:rsid w:val="007817E6"/>
    <w:rsid w:val="00781E91"/>
    <w:rsid w:val="0078220A"/>
    <w:rsid w:val="00782268"/>
    <w:rsid w:val="00782AEE"/>
    <w:rsid w:val="007833A8"/>
    <w:rsid w:val="00785B96"/>
    <w:rsid w:val="00785BE4"/>
    <w:rsid w:val="0078718C"/>
    <w:rsid w:val="00787AFA"/>
    <w:rsid w:val="00790650"/>
    <w:rsid w:val="007906D7"/>
    <w:rsid w:val="00790FE0"/>
    <w:rsid w:val="0079197A"/>
    <w:rsid w:val="00792838"/>
    <w:rsid w:val="007932AB"/>
    <w:rsid w:val="0079460E"/>
    <w:rsid w:val="0079461D"/>
    <w:rsid w:val="00795B53"/>
    <w:rsid w:val="007960DA"/>
    <w:rsid w:val="007A0E2E"/>
    <w:rsid w:val="007A1338"/>
    <w:rsid w:val="007A28FD"/>
    <w:rsid w:val="007A2C27"/>
    <w:rsid w:val="007A2F9B"/>
    <w:rsid w:val="007A3209"/>
    <w:rsid w:val="007A3C0D"/>
    <w:rsid w:val="007A5482"/>
    <w:rsid w:val="007A5BF8"/>
    <w:rsid w:val="007A79E9"/>
    <w:rsid w:val="007B1371"/>
    <w:rsid w:val="007B19AD"/>
    <w:rsid w:val="007B1D2F"/>
    <w:rsid w:val="007B2D09"/>
    <w:rsid w:val="007B4966"/>
    <w:rsid w:val="007B64A2"/>
    <w:rsid w:val="007B7AEC"/>
    <w:rsid w:val="007B7C51"/>
    <w:rsid w:val="007C0551"/>
    <w:rsid w:val="007C05EC"/>
    <w:rsid w:val="007C0A7B"/>
    <w:rsid w:val="007C0F68"/>
    <w:rsid w:val="007C1FF9"/>
    <w:rsid w:val="007C3D14"/>
    <w:rsid w:val="007C429B"/>
    <w:rsid w:val="007C4B16"/>
    <w:rsid w:val="007D27B8"/>
    <w:rsid w:val="007D2B7D"/>
    <w:rsid w:val="007D3BD5"/>
    <w:rsid w:val="007D404B"/>
    <w:rsid w:val="007D5716"/>
    <w:rsid w:val="007D5CA0"/>
    <w:rsid w:val="007D65EE"/>
    <w:rsid w:val="007D7134"/>
    <w:rsid w:val="007E0221"/>
    <w:rsid w:val="007E0550"/>
    <w:rsid w:val="007E08F7"/>
    <w:rsid w:val="007E0CF9"/>
    <w:rsid w:val="007E3160"/>
    <w:rsid w:val="007E34B0"/>
    <w:rsid w:val="007E3B98"/>
    <w:rsid w:val="007E3BB6"/>
    <w:rsid w:val="007E3FCA"/>
    <w:rsid w:val="007E4158"/>
    <w:rsid w:val="007E4686"/>
    <w:rsid w:val="007E4728"/>
    <w:rsid w:val="007E494B"/>
    <w:rsid w:val="007E4E74"/>
    <w:rsid w:val="007E5C2F"/>
    <w:rsid w:val="007E6708"/>
    <w:rsid w:val="007E6C13"/>
    <w:rsid w:val="007E6F2C"/>
    <w:rsid w:val="007E790A"/>
    <w:rsid w:val="007F0F80"/>
    <w:rsid w:val="007F44CD"/>
    <w:rsid w:val="007F456C"/>
    <w:rsid w:val="007F4581"/>
    <w:rsid w:val="007F5113"/>
    <w:rsid w:val="007F522F"/>
    <w:rsid w:val="007F6991"/>
    <w:rsid w:val="007F7CD8"/>
    <w:rsid w:val="00805A5B"/>
    <w:rsid w:val="00805ABF"/>
    <w:rsid w:val="00806047"/>
    <w:rsid w:val="00807657"/>
    <w:rsid w:val="00810AFC"/>
    <w:rsid w:val="00811C8A"/>
    <w:rsid w:val="0081376D"/>
    <w:rsid w:val="00813770"/>
    <w:rsid w:val="0081449A"/>
    <w:rsid w:val="0081519A"/>
    <w:rsid w:val="00815AF9"/>
    <w:rsid w:val="0081619D"/>
    <w:rsid w:val="008162CB"/>
    <w:rsid w:val="00816828"/>
    <w:rsid w:val="00816886"/>
    <w:rsid w:val="0082373E"/>
    <w:rsid w:val="008245F0"/>
    <w:rsid w:val="00825A36"/>
    <w:rsid w:val="00825FF2"/>
    <w:rsid w:val="00826259"/>
    <w:rsid w:val="00827057"/>
    <w:rsid w:val="008273F8"/>
    <w:rsid w:val="00827493"/>
    <w:rsid w:val="00830B9C"/>
    <w:rsid w:val="00830ECB"/>
    <w:rsid w:val="00831322"/>
    <w:rsid w:val="0083159E"/>
    <w:rsid w:val="00831E93"/>
    <w:rsid w:val="008320DA"/>
    <w:rsid w:val="0083270B"/>
    <w:rsid w:val="00832732"/>
    <w:rsid w:val="00832DA1"/>
    <w:rsid w:val="00832EA8"/>
    <w:rsid w:val="00833282"/>
    <w:rsid w:val="00833820"/>
    <w:rsid w:val="00833FB2"/>
    <w:rsid w:val="00834AF1"/>
    <w:rsid w:val="00836CFD"/>
    <w:rsid w:val="008370DB"/>
    <w:rsid w:val="008403EF"/>
    <w:rsid w:val="0084048A"/>
    <w:rsid w:val="0084110E"/>
    <w:rsid w:val="00842226"/>
    <w:rsid w:val="00843750"/>
    <w:rsid w:val="00843934"/>
    <w:rsid w:val="00844032"/>
    <w:rsid w:val="008441C1"/>
    <w:rsid w:val="008443FD"/>
    <w:rsid w:val="00844B3E"/>
    <w:rsid w:val="00844F5A"/>
    <w:rsid w:val="008456D2"/>
    <w:rsid w:val="008464A2"/>
    <w:rsid w:val="0084711F"/>
    <w:rsid w:val="0084767C"/>
    <w:rsid w:val="00850C1F"/>
    <w:rsid w:val="008513CF"/>
    <w:rsid w:val="00851A4C"/>
    <w:rsid w:val="008523E5"/>
    <w:rsid w:val="0085285F"/>
    <w:rsid w:val="00853D0E"/>
    <w:rsid w:val="00853F0D"/>
    <w:rsid w:val="00854029"/>
    <w:rsid w:val="00854D0C"/>
    <w:rsid w:val="00855F3D"/>
    <w:rsid w:val="00856A69"/>
    <w:rsid w:val="00856FEA"/>
    <w:rsid w:val="0085792E"/>
    <w:rsid w:val="008602B9"/>
    <w:rsid w:val="00860DB9"/>
    <w:rsid w:val="00861541"/>
    <w:rsid w:val="008620AF"/>
    <w:rsid w:val="00862499"/>
    <w:rsid w:val="00865333"/>
    <w:rsid w:val="008655ED"/>
    <w:rsid w:val="008658D8"/>
    <w:rsid w:val="00865B11"/>
    <w:rsid w:val="00865B7A"/>
    <w:rsid w:val="00870A83"/>
    <w:rsid w:val="00871109"/>
    <w:rsid w:val="0087168E"/>
    <w:rsid w:val="00871AEB"/>
    <w:rsid w:val="0087280F"/>
    <w:rsid w:val="00873B4B"/>
    <w:rsid w:val="008762AB"/>
    <w:rsid w:val="00877E85"/>
    <w:rsid w:val="00881710"/>
    <w:rsid w:val="00884010"/>
    <w:rsid w:val="0088419C"/>
    <w:rsid w:val="008848ED"/>
    <w:rsid w:val="00885F9A"/>
    <w:rsid w:val="00886AED"/>
    <w:rsid w:val="00886F6F"/>
    <w:rsid w:val="008879C6"/>
    <w:rsid w:val="00887A77"/>
    <w:rsid w:val="00890B9B"/>
    <w:rsid w:val="008910F4"/>
    <w:rsid w:val="00891E83"/>
    <w:rsid w:val="00892112"/>
    <w:rsid w:val="00892E82"/>
    <w:rsid w:val="00893148"/>
    <w:rsid w:val="008933AA"/>
    <w:rsid w:val="008937F7"/>
    <w:rsid w:val="00894361"/>
    <w:rsid w:val="008943A5"/>
    <w:rsid w:val="0089462F"/>
    <w:rsid w:val="0089542B"/>
    <w:rsid w:val="00895C3D"/>
    <w:rsid w:val="00896178"/>
    <w:rsid w:val="00896832"/>
    <w:rsid w:val="00897A95"/>
    <w:rsid w:val="00897E6B"/>
    <w:rsid w:val="008A0AB3"/>
    <w:rsid w:val="008A1262"/>
    <w:rsid w:val="008A128A"/>
    <w:rsid w:val="008A1483"/>
    <w:rsid w:val="008A175F"/>
    <w:rsid w:val="008A1B07"/>
    <w:rsid w:val="008A3015"/>
    <w:rsid w:val="008A46B6"/>
    <w:rsid w:val="008A5AE5"/>
    <w:rsid w:val="008A5CBD"/>
    <w:rsid w:val="008A6539"/>
    <w:rsid w:val="008A6A08"/>
    <w:rsid w:val="008A7325"/>
    <w:rsid w:val="008A7A84"/>
    <w:rsid w:val="008A7A96"/>
    <w:rsid w:val="008A7D25"/>
    <w:rsid w:val="008B03DE"/>
    <w:rsid w:val="008B0B41"/>
    <w:rsid w:val="008B1EF4"/>
    <w:rsid w:val="008B2738"/>
    <w:rsid w:val="008B2B80"/>
    <w:rsid w:val="008B32CF"/>
    <w:rsid w:val="008B3AF5"/>
    <w:rsid w:val="008B458D"/>
    <w:rsid w:val="008B66BE"/>
    <w:rsid w:val="008B6A1B"/>
    <w:rsid w:val="008B6CD1"/>
    <w:rsid w:val="008B72D8"/>
    <w:rsid w:val="008B75E4"/>
    <w:rsid w:val="008C1BBC"/>
    <w:rsid w:val="008C356A"/>
    <w:rsid w:val="008C38B4"/>
    <w:rsid w:val="008C3A75"/>
    <w:rsid w:val="008C4696"/>
    <w:rsid w:val="008C602F"/>
    <w:rsid w:val="008C6211"/>
    <w:rsid w:val="008C66C4"/>
    <w:rsid w:val="008D203E"/>
    <w:rsid w:val="008D31C6"/>
    <w:rsid w:val="008D3799"/>
    <w:rsid w:val="008D58CF"/>
    <w:rsid w:val="008D650D"/>
    <w:rsid w:val="008D7AEE"/>
    <w:rsid w:val="008E0058"/>
    <w:rsid w:val="008E21B6"/>
    <w:rsid w:val="008E347B"/>
    <w:rsid w:val="008E37BD"/>
    <w:rsid w:val="008E418C"/>
    <w:rsid w:val="008E5163"/>
    <w:rsid w:val="008E5ACA"/>
    <w:rsid w:val="008E5D28"/>
    <w:rsid w:val="008E6299"/>
    <w:rsid w:val="008E66F7"/>
    <w:rsid w:val="008F0088"/>
    <w:rsid w:val="008F0B1B"/>
    <w:rsid w:val="008F1B16"/>
    <w:rsid w:val="008F2F1C"/>
    <w:rsid w:val="008F4B9D"/>
    <w:rsid w:val="008F6C86"/>
    <w:rsid w:val="008F6E16"/>
    <w:rsid w:val="008F7BFD"/>
    <w:rsid w:val="00902D38"/>
    <w:rsid w:val="00902EF0"/>
    <w:rsid w:val="00903467"/>
    <w:rsid w:val="009041EB"/>
    <w:rsid w:val="009043BC"/>
    <w:rsid w:val="009051A8"/>
    <w:rsid w:val="009062A3"/>
    <w:rsid w:val="009073EE"/>
    <w:rsid w:val="00907D63"/>
    <w:rsid w:val="00907E8E"/>
    <w:rsid w:val="00910913"/>
    <w:rsid w:val="00911168"/>
    <w:rsid w:val="0091172D"/>
    <w:rsid w:val="00911B92"/>
    <w:rsid w:val="00912978"/>
    <w:rsid w:val="00913890"/>
    <w:rsid w:val="009150FA"/>
    <w:rsid w:val="00915A8A"/>
    <w:rsid w:val="00915BFA"/>
    <w:rsid w:val="00917DEF"/>
    <w:rsid w:val="00922121"/>
    <w:rsid w:val="00923322"/>
    <w:rsid w:val="00923444"/>
    <w:rsid w:val="009240AA"/>
    <w:rsid w:val="00924DFF"/>
    <w:rsid w:val="00930734"/>
    <w:rsid w:val="00931818"/>
    <w:rsid w:val="00931B4E"/>
    <w:rsid w:val="009328EF"/>
    <w:rsid w:val="00933640"/>
    <w:rsid w:val="009336AD"/>
    <w:rsid w:val="00941FF8"/>
    <w:rsid w:val="00942237"/>
    <w:rsid w:val="00942742"/>
    <w:rsid w:val="00942B96"/>
    <w:rsid w:val="0094387B"/>
    <w:rsid w:val="00943B72"/>
    <w:rsid w:val="0094426E"/>
    <w:rsid w:val="00944459"/>
    <w:rsid w:val="00945832"/>
    <w:rsid w:val="009511A0"/>
    <w:rsid w:val="00951AD0"/>
    <w:rsid w:val="00953B1E"/>
    <w:rsid w:val="00953EEF"/>
    <w:rsid w:val="0095535F"/>
    <w:rsid w:val="00955681"/>
    <w:rsid w:val="00957F93"/>
    <w:rsid w:val="009604FA"/>
    <w:rsid w:val="00960923"/>
    <w:rsid w:val="00960AF4"/>
    <w:rsid w:val="009611A2"/>
    <w:rsid w:val="009642BB"/>
    <w:rsid w:val="009650EF"/>
    <w:rsid w:val="00965356"/>
    <w:rsid w:val="00965C72"/>
    <w:rsid w:val="009663AB"/>
    <w:rsid w:val="00966C88"/>
    <w:rsid w:val="00970967"/>
    <w:rsid w:val="00970A90"/>
    <w:rsid w:val="009738E5"/>
    <w:rsid w:val="00973E83"/>
    <w:rsid w:val="009744DD"/>
    <w:rsid w:val="00974BF8"/>
    <w:rsid w:val="00975C54"/>
    <w:rsid w:val="00976062"/>
    <w:rsid w:val="009760B4"/>
    <w:rsid w:val="00976F2B"/>
    <w:rsid w:val="00976FC3"/>
    <w:rsid w:val="009801A5"/>
    <w:rsid w:val="009806DE"/>
    <w:rsid w:val="00981F42"/>
    <w:rsid w:val="00982552"/>
    <w:rsid w:val="00983F6B"/>
    <w:rsid w:val="00984D79"/>
    <w:rsid w:val="00984DB0"/>
    <w:rsid w:val="009852BE"/>
    <w:rsid w:val="009860D0"/>
    <w:rsid w:val="00986E04"/>
    <w:rsid w:val="0099001E"/>
    <w:rsid w:val="00991AB8"/>
    <w:rsid w:val="00993831"/>
    <w:rsid w:val="00994228"/>
    <w:rsid w:val="0099525B"/>
    <w:rsid w:val="009957A4"/>
    <w:rsid w:val="009966E4"/>
    <w:rsid w:val="00997D38"/>
    <w:rsid w:val="009A0A19"/>
    <w:rsid w:val="009A0F30"/>
    <w:rsid w:val="009A1356"/>
    <w:rsid w:val="009A1801"/>
    <w:rsid w:val="009A1A9D"/>
    <w:rsid w:val="009A1B65"/>
    <w:rsid w:val="009A2255"/>
    <w:rsid w:val="009A294F"/>
    <w:rsid w:val="009A3686"/>
    <w:rsid w:val="009A3ADC"/>
    <w:rsid w:val="009A3C95"/>
    <w:rsid w:val="009A3DEE"/>
    <w:rsid w:val="009A5AFA"/>
    <w:rsid w:val="009A76B2"/>
    <w:rsid w:val="009A7C96"/>
    <w:rsid w:val="009A7E14"/>
    <w:rsid w:val="009B13B9"/>
    <w:rsid w:val="009B15B0"/>
    <w:rsid w:val="009B18C7"/>
    <w:rsid w:val="009B1A4D"/>
    <w:rsid w:val="009B3475"/>
    <w:rsid w:val="009B3B26"/>
    <w:rsid w:val="009B3B80"/>
    <w:rsid w:val="009B3C51"/>
    <w:rsid w:val="009B40BF"/>
    <w:rsid w:val="009B4658"/>
    <w:rsid w:val="009B5260"/>
    <w:rsid w:val="009B70FB"/>
    <w:rsid w:val="009B742A"/>
    <w:rsid w:val="009B77AD"/>
    <w:rsid w:val="009B7B83"/>
    <w:rsid w:val="009B7F94"/>
    <w:rsid w:val="009C0830"/>
    <w:rsid w:val="009C19EB"/>
    <w:rsid w:val="009C27AF"/>
    <w:rsid w:val="009C2FB3"/>
    <w:rsid w:val="009C3479"/>
    <w:rsid w:val="009C457D"/>
    <w:rsid w:val="009C4773"/>
    <w:rsid w:val="009C53E7"/>
    <w:rsid w:val="009C5645"/>
    <w:rsid w:val="009C6282"/>
    <w:rsid w:val="009C7121"/>
    <w:rsid w:val="009C77AB"/>
    <w:rsid w:val="009D2F9D"/>
    <w:rsid w:val="009D30AA"/>
    <w:rsid w:val="009D4E0B"/>
    <w:rsid w:val="009D62BD"/>
    <w:rsid w:val="009E0419"/>
    <w:rsid w:val="009E05A6"/>
    <w:rsid w:val="009E07BD"/>
    <w:rsid w:val="009E2086"/>
    <w:rsid w:val="009E2408"/>
    <w:rsid w:val="009E25F8"/>
    <w:rsid w:val="009E2FD3"/>
    <w:rsid w:val="009E3150"/>
    <w:rsid w:val="009E456A"/>
    <w:rsid w:val="009E4AE8"/>
    <w:rsid w:val="009E52E1"/>
    <w:rsid w:val="009E685B"/>
    <w:rsid w:val="009F175E"/>
    <w:rsid w:val="009F1B29"/>
    <w:rsid w:val="009F37BE"/>
    <w:rsid w:val="009F3E1E"/>
    <w:rsid w:val="009F3F83"/>
    <w:rsid w:val="009F470A"/>
    <w:rsid w:val="009F5947"/>
    <w:rsid w:val="009F7799"/>
    <w:rsid w:val="009F7991"/>
    <w:rsid w:val="00A04383"/>
    <w:rsid w:val="00A06222"/>
    <w:rsid w:val="00A062ED"/>
    <w:rsid w:val="00A07AA4"/>
    <w:rsid w:val="00A113CF"/>
    <w:rsid w:val="00A132DB"/>
    <w:rsid w:val="00A13390"/>
    <w:rsid w:val="00A133D2"/>
    <w:rsid w:val="00A13E37"/>
    <w:rsid w:val="00A14C7F"/>
    <w:rsid w:val="00A1532A"/>
    <w:rsid w:val="00A15AE7"/>
    <w:rsid w:val="00A22021"/>
    <w:rsid w:val="00A23729"/>
    <w:rsid w:val="00A26BFD"/>
    <w:rsid w:val="00A2788B"/>
    <w:rsid w:val="00A3031D"/>
    <w:rsid w:val="00A305D6"/>
    <w:rsid w:val="00A30E35"/>
    <w:rsid w:val="00A31418"/>
    <w:rsid w:val="00A31C59"/>
    <w:rsid w:val="00A31D8B"/>
    <w:rsid w:val="00A32CC1"/>
    <w:rsid w:val="00A32DE2"/>
    <w:rsid w:val="00A34A4E"/>
    <w:rsid w:val="00A35790"/>
    <w:rsid w:val="00A359A6"/>
    <w:rsid w:val="00A35FF6"/>
    <w:rsid w:val="00A3646D"/>
    <w:rsid w:val="00A367FF"/>
    <w:rsid w:val="00A37B24"/>
    <w:rsid w:val="00A37BEF"/>
    <w:rsid w:val="00A4256D"/>
    <w:rsid w:val="00A42F22"/>
    <w:rsid w:val="00A43344"/>
    <w:rsid w:val="00A437DD"/>
    <w:rsid w:val="00A43AFE"/>
    <w:rsid w:val="00A447C0"/>
    <w:rsid w:val="00A45167"/>
    <w:rsid w:val="00A457CF"/>
    <w:rsid w:val="00A46654"/>
    <w:rsid w:val="00A469AA"/>
    <w:rsid w:val="00A470F3"/>
    <w:rsid w:val="00A47B99"/>
    <w:rsid w:val="00A5055D"/>
    <w:rsid w:val="00A52FF1"/>
    <w:rsid w:val="00A53C6F"/>
    <w:rsid w:val="00A568C1"/>
    <w:rsid w:val="00A56FE2"/>
    <w:rsid w:val="00A570B8"/>
    <w:rsid w:val="00A57922"/>
    <w:rsid w:val="00A61BB1"/>
    <w:rsid w:val="00A625E6"/>
    <w:rsid w:val="00A62CA3"/>
    <w:rsid w:val="00A652B2"/>
    <w:rsid w:val="00A66D6B"/>
    <w:rsid w:val="00A67371"/>
    <w:rsid w:val="00A70628"/>
    <w:rsid w:val="00A70EC2"/>
    <w:rsid w:val="00A719B3"/>
    <w:rsid w:val="00A720C3"/>
    <w:rsid w:val="00A728BA"/>
    <w:rsid w:val="00A7315A"/>
    <w:rsid w:val="00A74130"/>
    <w:rsid w:val="00A7432D"/>
    <w:rsid w:val="00A74755"/>
    <w:rsid w:val="00A74A9B"/>
    <w:rsid w:val="00A75C95"/>
    <w:rsid w:val="00A769DB"/>
    <w:rsid w:val="00A76A63"/>
    <w:rsid w:val="00A7700D"/>
    <w:rsid w:val="00A77196"/>
    <w:rsid w:val="00A7773C"/>
    <w:rsid w:val="00A77975"/>
    <w:rsid w:val="00A81108"/>
    <w:rsid w:val="00A825AB"/>
    <w:rsid w:val="00A83348"/>
    <w:rsid w:val="00A83AA8"/>
    <w:rsid w:val="00A84FE4"/>
    <w:rsid w:val="00A852E6"/>
    <w:rsid w:val="00A876AE"/>
    <w:rsid w:val="00A904D9"/>
    <w:rsid w:val="00A91DC3"/>
    <w:rsid w:val="00A928F5"/>
    <w:rsid w:val="00A94922"/>
    <w:rsid w:val="00A97884"/>
    <w:rsid w:val="00A9792E"/>
    <w:rsid w:val="00AA12BA"/>
    <w:rsid w:val="00AA14A9"/>
    <w:rsid w:val="00AA1666"/>
    <w:rsid w:val="00AA250A"/>
    <w:rsid w:val="00AA2E7C"/>
    <w:rsid w:val="00AA2EFC"/>
    <w:rsid w:val="00AA30B7"/>
    <w:rsid w:val="00AA46C5"/>
    <w:rsid w:val="00AA4B4D"/>
    <w:rsid w:val="00AA689A"/>
    <w:rsid w:val="00AA72AA"/>
    <w:rsid w:val="00AA7493"/>
    <w:rsid w:val="00AA74DC"/>
    <w:rsid w:val="00AA7B6B"/>
    <w:rsid w:val="00AB1C9B"/>
    <w:rsid w:val="00AB2476"/>
    <w:rsid w:val="00AB3073"/>
    <w:rsid w:val="00AB31B7"/>
    <w:rsid w:val="00AB3C7F"/>
    <w:rsid w:val="00AB5E83"/>
    <w:rsid w:val="00AB7C92"/>
    <w:rsid w:val="00AB7DAD"/>
    <w:rsid w:val="00AC032C"/>
    <w:rsid w:val="00AC054B"/>
    <w:rsid w:val="00AC09C1"/>
    <w:rsid w:val="00AC0AEE"/>
    <w:rsid w:val="00AC180B"/>
    <w:rsid w:val="00AC367E"/>
    <w:rsid w:val="00AC3C08"/>
    <w:rsid w:val="00AC6523"/>
    <w:rsid w:val="00AC7203"/>
    <w:rsid w:val="00AC7A20"/>
    <w:rsid w:val="00AD03FA"/>
    <w:rsid w:val="00AD0689"/>
    <w:rsid w:val="00AD19C2"/>
    <w:rsid w:val="00AD1A4F"/>
    <w:rsid w:val="00AD1D73"/>
    <w:rsid w:val="00AD2486"/>
    <w:rsid w:val="00AD2A87"/>
    <w:rsid w:val="00AD3014"/>
    <w:rsid w:val="00AD3D2A"/>
    <w:rsid w:val="00AD4538"/>
    <w:rsid w:val="00AD4675"/>
    <w:rsid w:val="00AD56E3"/>
    <w:rsid w:val="00AD58A8"/>
    <w:rsid w:val="00AD602E"/>
    <w:rsid w:val="00AD6D0F"/>
    <w:rsid w:val="00AD7AB1"/>
    <w:rsid w:val="00AE042A"/>
    <w:rsid w:val="00AE05BC"/>
    <w:rsid w:val="00AE1B90"/>
    <w:rsid w:val="00AE2029"/>
    <w:rsid w:val="00AE2F5E"/>
    <w:rsid w:val="00AE3D71"/>
    <w:rsid w:val="00AE4AFF"/>
    <w:rsid w:val="00AE5F90"/>
    <w:rsid w:val="00AE6D71"/>
    <w:rsid w:val="00AE6E4D"/>
    <w:rsid w:val="00AF058F"/>
    <w:rsid w:val="00AF12F4"/>
    <w:rsid w:val="00AF14C1"/>
    <w:rsid w:val="00AF39F1"/>
    <w:rsid w:val="00AF46E8"/>
    <w:rsid w:val="00B02426"/>
    <w:rsid w:val="00B035B4"/>
    <w:rsid w:val="00B03C04"/>
    <w:rsid w:val="00B042E9"/>
    <w:rsid w:val="00B0464F"/>
    <w:rsid w:val="00B04F34"/>
    <w:rsid w:val="00B052EF"/>
    <w:rsid w:val="00B05575"/>
    <w:rsid w:val="00B05C2F"/>
    <w:rsid w:val="00B05F4F"/>
    <w:rsid w:val="00B06636"/>
    <w:rsid w:val="00B07391"/>
    <w:rsid w:val="00B07C1F"/>
    <w:rsid w:val="00B10AE1"/>
    <w:rsid w:val="00B1142D"/>
    <w:rsid w:val="00B123CE"/>
    <w:rsid w:val="00B13A95"/>
    <w:rsid w:val="00B15941"/>
    <w:rsid w:val="00B15F26"/>
    <w:rsid w:val="00B15F2F"/>
    <w:rsid w:val="00B17D13"/>
    <w:rsid w:val="00B17DCA"/>
    <w:rsid w:val="00B2115B"/>
    <w:rsid w:val="00B21A28"/>
    <w:rsid w:val="00B2295B"/>
    <w:rsid w:val="00B234B1"/>
    <w:rsid w:val="00B23A3B"/>
    <w:rsid w:val="00B24498"/>
    <w:rsid w:val="00B24E4B"/>
    <w:rsid w:val="00B255F6"/>
    <w:rsid w:val="00B26122"/>
    <w:rsid w:val="00B264C7"/>
    <w:rsid w:val="00B30FD8"/>
    <w:rsid w:val="00B31985"/>
    <w:rsid w:val="00B321D5"/>
    <w:rsid w:val="00B32C8A"/>
    <w:rsid w:val="00B32D40"/>
    <w:rsid w:val="00B3399B"/>
    <w:rsid w:val="00B33A1A"/>
    <w:rsid w:val="00B33DA7"/>
    <w:rsid w:val="00B3667A"/>
    <w:rsid w:val="00B368E0"/>
    <w:rsid w:val="00B37005"/>
    <w:rsid w:val="00B37E9D"/>
    <w:rsid w:val="00B42089"/>
    <w:rsid w:val="00B425E5"/>
    <w:rsid w:val="00B42A22"/>
    <w:rsid w:val="00B42C08"/>
    <w:rsid w:val="00B42F4F"/>
    <w:rsid w:val="00B43280"/>
    <w:rsid w:val="00B43A7B"/>
    <w:rsid w:val="00B45E57"/>
    <w:rsid w:val="00B45FEC"/>
    <w:rsid w:val="00B462E2"/>
    <w:rsid w:val="00B468B1"/>
    <w:rsid w:val="00B47BCC"/>
    <w:rsid w:val="00B505AD"/>
    <w:rsid w:val="00B52854"/>
    <w:rsid w:val="00B52C5B"/>
    <w:rsid w:val="00B53904"/>
    <w:rsid w:val="00B544BD"/>
    <w:rsid w:val="00B544FE"/>
    <w:rsid w:val="00B54864"/>
    <w:rsid w:val="00B54ECA"/>
    <w:rsid w:val="00B55103"/>
    <w:rsid w:val="00B56432"/>
    <w:rsid w:val="00B61515"/>
    <w:rsid w:val="00B6517A"/>
    <w:rsid w:val="00B65667"/>
    <w:rsid w:val="00B65A31"/>
    <w:rsid w:val="00B667BD"/>
    <w:rsid w:val="00B66E0B"/>
    <w:rsid w:val="00B67AF8"/>
    <w:rsid w:val="00B71146"/>
    <w:rsid w:val="00B72294"/>
    <w:rsid w:val="00B725C8"/>
    <w:rsid w:val="00B74507"/>
    <w:rsid w:val="00B761F7"/>
    <w:rsid w:val="00B76385"/>
    <w:rsid w:val="00B769A7"/>
    <w:rsid w:val="00B77D76"/>
    <w:rsid w:val="00B77F8F"/>
    <w:rsid w:val="00B80FD4"/>
    <w:rsid w:val="00B80FED"/>
    <w:rsid w:val="00B810A5"/>
    <w:rsid w:val="00B81678"/>
    <w:rsid w:val="00B823AB"/>
    <w:rsid w:val="00B8422F"/>
    <w:rsid w:val="00B85A86"/>
    <w:rsid w:val="00B87413"/>
    <w:rsid w:val="00B8793F"/>
    <w:rsid w:val="00B879FC"/>
    <w:rsid w:val="00B92D82"/>
    <w:rsid w:val="00B93354"/>
    <w:rsid w:val="00B943CF"/>
    <w:rsid w:val="00B9512B"/>
    <w:rsid w:val="00B959A6"/>
    <w:rsid w:val="00B96987"/>
    <w:rsid w:val="00B96D0B"/>
    <w:rsid w:val="00B96F3A"/>
    <w:rsid w:val="00B97EFE"/>
    <w:rsid w:val="00BA010F"/>
    <w:rsid w:val="00BA0810"/>
    <w:rsid w:val="00BA1650"/>
    <w:rsid w:val="00BA2019"/>
    <w:rsid w:val="00BA3CFF"/>
    <w:rsid w:val="00BA3F85"/>
    <w:rsid w:val="00BA4D4D"/>
    <w:rsid w:val="00BA506C"/>
    <w:rsid w:val="00BA6216"/>
    <w:rsid w:val="00BB098F"/>
    <w:rsid w:val="00BB15C2"/>
    <w:rsid w:val="00BB1721"/>
    <w:rsid w:val="00BB2F26"/>
    <w:rsid w:val="00BB4CD5"/>
    <w:rsid w:val="00BB4D8A"/>
    <w:rsid w:val="00BB712E"/>
    <w:rsid w:val="00BB7137"/>
    <w:rsid w:val="00BB7300"/>
    <w:rsid w:val="00BB73CF"/>
    <w:rsid w:val="00BB768B"/>
    <w:rsid w:val="00BB785B"/>
    <w:rsid w:val="00BC0283"/>
    <w:rsid w:val="00BC0868"/>
    <w:rsid w:val="00BC1115"/>
    <w:rsid w:val="00BC1243"/>
    <w:rsid w:val="00BC1831"/>
    <w:rsid w:val="00BC1B90"/>
    <w:rsid w:val="00BC284B"/>
    <w:rsid w:val="00BC33A4"/>
    <w:rsid w:val="00BC3FFA"/>
    <w:rsid w:val="00BC40A6"/>
    <w:rsid w:val="00BC53FC"/>
    <w:rsid w:val="00BC56AC"/>
    <w:rsid w:val="00BC5D51"/>
    <w:rsid w:val="00BC5E5B"/>
    <w:rsid w:val="00BC5F8D"/>
    <w:rsid w:val="00BC6189"/>
    <w:rsid w:val="00BC76FB"/>
    <w:rsid w:val="00BD02C3"/>
    <w:rsid w:val="00BD070C"/>
    <w:rsid w:val="00BD0EBC"/>
    <w:rsid w:val="00BD111E"/>
    <w:rsid w:val="00BD17D0"/>
    <w:rsid w:val="00BD1995"/>
    <w:rsid w:val="00BD288F"/>
    <w:rsid w:val="00BD3505"/>
    <w:rsid w:val="00BD4766"/>
    <w:rsid w:val="00BD5307"/>
    <w:rsid w:val="00BD74A9"/>
    <w:rsid w:val="00BE00FB"/>
    <w:rsid w:val="00BE0293"/>
    <w:rsid w:val="00BE2039"/>
    <w:rsid w:val="00BE2B51"/>
    <w:rsid w:val="00BE3F97"/>
    <w:rsid w:val="00BE47CC"/>
    <w:rsid w:val="00BE5849"/>
    <w:rsid w:val="00BE5A33"/>
    <w:rsid w:val="00BE5F4C"/>
    <w:rsid w:val="00BE65A3"/>
    <w:rsid w:val="00BE6773"/>
    <w:rsid w:val="00BE6C8A"/>
    <w:rsid w:val="00BE7D93"/>
    <w:rsid w:val="00BF12F2"/>
    <w:rsid w:val="00BF15F6"/>
    <w:rsid w:val="00BF237C"/>
    <w:rsid w:val="00BF2821"/>
    <w:rsid w:val="00BF32C4"/>
    <w:rsid w:val="00BF391C"/>
    <w:rsid w:val="00BF3BE6"/>
    <w:rsid w:val="00BF4BFF"/>
    <w:rsid w:val="00BF509A"/>
    <w:rsid w:val="00BF5274"/>
    <w:rsid w:val="00BF6936"/>
    <w:rsid w:val="00BF74E1"/>
    <w:rsid w:val="00BF77FC"/>
    <w:rsid w:val="00C0079C"/>
    <w:rsid w:val="00C00968"/>
    <w:rsid w:val="00C013AF"/>
    <w:rsid w:val="00C039EB"/>
    <w:rsid w:val="00C05362"/>
    <w:rsid w:val="00C06017"/>
    <w:rsid w:val="00C103EB"/>
    <w:rsid w:val="00C10505"/>
    <w:rsid w:val="00C10583"/>
    <w:rsid w:val="00C1126F"/>
    <w:rsid w:val="00C116C0"/>
    <w:rsid w:val="00C12AAD"/>
    <w:rsid w:val="00C14519"/>
    <w:rsid w:val="00C159A6"/>
    <w:rsid w:val="00C164AB"/>
    <w:rsid w:val="00C1784D"/>
    <w:rsid w:val="00C219C9"/>
    <w:rsid w:val="00C21A22"/>
    <w:rsid w:val="00C24AEC"/>
    <w:rsid w:val="00C25196"/>
    <w:rsid w:val="00C254A6"/>
    <w:rsid w:val="00C25695"/>
    <w:rsid w:val="00C25A98"/>
    <w:rsid w:val="00C2622F"/>
    <w:rsid w:val="00C26DDF"/>
    <w:rsid w:val="00C303CA"/>
    <w:rsid w:val="00C305D0"/>
    <w:rsid w:val="00C3112E"/>
    <w:rsid w:val="00C31CFF"/>
    <w:rsid w:val="00C33190"/>
    <w:rsid w:val="00C340E2"/>
    <w:rsid w:val="00C34769"/>
    <w:rsid w:val="00C360E1"/>
    <w:rsid w:val="00C36834"/>
    <w:rsid w:val="00C413DA"/>
    <w:rsid w:val="00C414E7"/>
    <w:rsid w:val="00C42C6A"/>
    <w:rsid w:val="00C431EE"/>
    <w:rsid w:val="00C4387E"/>
    <w:rsid w:val="00C43A34"/>
    <w:rsid w:val="00C43E9B"/>
    <w:rsid w:val="00C447BE"/>
    <w:rsid w:val="00C45686"/>
    <w:rsid w:val="00C45E43"/>
    <w:rsid w:val="00C46454"/>
    <w:rsid w:val="00C50E48"/>
    <w:rsid w:val="00C51373"/>
    <w:rsid w:val="00C51A2B"/>
    <w:rsid w:val="00C54571"/>
    <w:rsid w:val="00C5787D"/>
    <w:rsid w:val="00C57B8B"/>
    <w:rsid w:val="00C61D20"/>
    <w:rsid w:val="00C6205A"/>
    <w:rsid w:val="00C62302"/>
    <w:rsid w:val="00C63322"/>
    <w:rsid w:val="00C64037"/>
    <w:rsid w:val="00C64545"/>
    <w:rsid w:val="00C67562"/>
    <w:rsid w:val="00C67C6C"/>
    <w:rsid w:val="00C7102F"/>
    <w:rsid w:val="00C71CB9"/>
    <w:rsid w:val="00C71F9E"/>
    <w:rsid w:val="00C7222D"/>
    <w:rsid w:val="00C7282C"/>
    <w:rsid w:val="00C7363E"/>
    <w:rsid w:val="00C73BE0"/>
    <w:rsid w:val="00C75F9A"/>
    <w:rsid w:val="00C76D92"/>
    <w:rsid w:val="00C7746D"/>
    <w:rsid w:val="00C77877"/>
    <w:rsid w:val="00C77BE4"/>
    <w:rsid w:val="00C82896"/>
    <w:rsid w:val="00C832C8"/>
    <w:rsid w:val="00C85516"/>
    <w:rsid w:val="00C85CE3"/>
    <w:rsid w:val="00C8613E"/>
    <w:rsid w:val="00C86E74"/>
    <w:rsid w:val="00C87422"/>
    <w:rsid w:val="00C87440"/>
    <w:rsid w:val="00C90863"/>
    <w:rsid w:val="00C91F0C"/>
    <w:rsid w:val="00C9586A"/>
    <w:rsid w:val="00C96136"/>
    <w:rsid w:val="00C978DA"/>
    <w:rsid w:val="00CA10CB"/>
    <w:rsid w:val="00CA1409"/>
    <w:rsid w:val="00CA3959"/>
    <w:rsid w:val="00CA3CB9"/>
    <w:rsid w:val="00CA3EBE"/>
    <w:rsid w:val="00CA51F0"/>
    <w:rsid w:val="00CA5886"/>
    <w:rsid w:val="00CA6067"/>
    <w:rsid w:val="00CA722B"/>
    <w:rsid w:val="00CA752F"/>
    <w:rsid w:val="00CA7BC7"/>
    <w:rsid w:val="00CA7BD5"/>
    <w:rsid w:val="00CB1089"/>
    <w:rsid w:val="00CB1E21"/>
    <w:rsid w:val="00CB52FE"/>
    <w:rsid w:val="00CB5586"/>
    <w:rsid w:val="00CB57ED"/>
    <w:rsid w:val="00CB719F"/>
    <w:rsid w:val="00CC0478"/>
    <w:rsid w:val="00CC04D4"/>
    <w:rsid w:val="00CC2154"/>
    <w:rsid w:val="00CC3969"/>
    <w:rsid w:val="00CC49C8"/>
    <w:rsid w:val="00CC6290"/>
    <w:rsid w:val="00CC6793"/>
    <w:rsid w:val="00CD0273"/>
    <w:rsid w:val="00CD2BA5"/>
    <w:rsid w:val="00CD2E12"/>
    <w:rsid w:val="00CD32E0"/>
    <w:rsid w:val="00CD3550"/>
    <w:rsid w:val="00CD4E23"/>
    <w:rsid w:val="00CD5844"/>
    <w:rsid w:val="00CD5FCB"/>
    <w:rsid w:val="00CD633F"/>
    <w:rsid w:val="00CD6DE2"/>
    <w:rsid w:val="00CD72DB"/>
    <w:rsid w:val="00CE085D"/>
    <w:rsid w:val="00CE0C47"/>
    <w:rsid w:val="00CE2C30"/>
    <w:rsid w:val="00CE3654"/>
    <w:rsid w:val="00CE3A98"/>
    <w:rsid w:val="00CE3DD7"/>
    <w:rsid w:val="00CE5360"/>
    <w:rsid w:val="00CE5540"/>
    <w:rsid w:val="00CE7F56"/>
    <w:rsid w:val="00CF06B2"/>
    <w:rsid w:val="00CF0DA7"/>
    <w:rsid w:val="00CF155B"/>
    <w:rsid w:val="00CF1EC1"/>
    <w:rsid w:val="00CF2857"/>
    <w:rsid w:val="00CF311A"/>
    <w:rsid w:val="00CF376E"/>
    <w:rsid w:val="00CF43F1"/>
    <w:rsid w:val="00CF50FB"/>
    <w:rsid w:val="00CF5DE5"/>
    <w:rsid w:val="00D01D19"/>
    <w:rsid w:val="00D02B1F"/>
    <w:rsid w:val="00D03D5C"/>
    <w:rsid w:val="00D03E9A"/>
    <w:rsid w:val="00D05339"/>
    <w:rsid w:val="00D05353"/>
    <w:rsid w:val="00D05A1F"/>
    <w:rsid w:val="00D066FF"/>
    <w:rsid w:val="00D07F8F"/>
    <w:rsid w:val="00D10479"/>
    <w:rsid w:val="00D114C8"/>
    <w:rsid w:val="00D11B13"/>
    <w:rsid w:val="00D12457"/>
    <w:rsid w:val="00D13449"/>
    <w:rsid w:val="00D135B5"/>
    <w:rsid w:val="00D13ADB"/>
    <w:rsid w:val="00D141CA"/>
    <w:rsid w:val="00D158A8"/>
    <w:rsid w:val="00D1686E"/>
    <w:rsid w:val="00D200CE"/>
    <w:rsid w:val="00D2042E"/>
    <w:rsid w:val="00D20FD1"/>
    <w:rsid w:val="00D21827"/>
    <w:rsid w:val="00D21D5A"/>
    <w:rsid w:val="00D233A1"/>
    <w:rsid w:val="00D23729"/>
    <w:rsid w:val="00D2571A"/>
    <w:rsid w:val="00D261A9"/>
    <w:rsid w:val="00D26692"/>
    <w:rsid w:val="00D274FD"/>
    <w:rsid w:val="00D277C3"/>
    <w:rsid w:val="00D3006E"/>
    <w:rsid w:val="00D300BE"/>
    <w:rsid w:val="00D31398"/>
    <w:rsid w:val="00D3151D"/>
    <w:rsid w:val="00D3178A"/>
    <w:rsid w:val="00D32080"/>
    <w:rsid w:val="00D32156"/>
    <w:rsid w:val="00D329E7"/>
    <w:rsid w:val="00D33BAD"/>
    <w:rsid w:val="00D344BF"/>
    <w:rsid w:val="00D35240"/>
    <w:rsid w:val="00D3531D"/>
    <w:rsid w:val="00D35C82"/>
    <w:rsid w:val="00D3650F"/>
    <w:rsid w:val="00D40650"/>
    <w:rsid w:val="00D43EB8"/>
    <w:rsid w:val="00D449BD"/>
    <w:rsid w:val="00D449C2"/>
    <w:rsid w:val="00D44ABC"/>
    <w:rsid w:val="00D44B25"/>
    <w:rsid w:val="00D44C76"/>
    <w:rsid w:val="00D477C0"/>
    <w:rsid w:val="00D51B96"/>
    <w:rsid w:val="00D520BC"/>
    <w:rsid w:val="00D52905"/>
    <w:rsid w:val="00D52E90"/>
    <w:rsid w:val="00D54521"/>
    <w:rsid w:val="00D54F96"/>
    <w:rsid w:val="00D55475"/>
    <w:rsid w:val="00D5581A"/>
    <w:rsid w:val="00D5629E"/>
    <w:rsid w:val="00D56D15"/>
    <w:rsid w:val="00D5779C"/>
    <w:rsid w:val="00D604C4"/>
    <w:rsid w:val="00D60531"/>
    <w:rsid w:val="00D60AAF"/>
    <w:rsid w:val="00D63A17"/>
    <w:rsid w:val="00D64968"/>
    <w:rsid w:val="00D655C9"/>
    <w:rsid w:val="00D66324"/>
    <w:rsid w:val="00D701DD"/>
    <w:rsid w:val="00D71667"/>
    <w:rsid w:val="00D71B09"/>
    <w:rsid w:val="00D71D04"/>
    <w:rsid w:val="00D74E4F"/>
    <w:rsid w:val="00D75405"/>
    <w:rsid w:val="00D75F66"/>
    <w:rsid w:val="00D777DE"/>
    <w:rsid w:val="00D77DC7"/>
    <w:rsid w:val="00D80073"/>
    <w:rsid w:val="00D80270"/>
    <w:rsid w:val="00D80469"/>
    <w:rsid w:val="00D817B4"/>
    <w:rsid w:val="00D81D2A"/>
    <w:rsid w:val="00D83DDC"/>
    <w:rsid w:val="00D83DF1"/>
    <w:rsid w:val="00D84C10"/>
    <w:rsid w:val="00D85287"/>
    <w:rsid w:val="00D870CF"/>
    <w:rsid w:val="00D912D8"/>
    <w:rsid w:val="00D91A12"/>
    <w:rsid w:val="00D93761"/>
    <w:rsid w:val="00D93889"/>
    <w:rsid w:val="00D93D4A"/>
    <w:rsid w:val="00D954A3"/>
    <w:rsid w:val="00D95E9E"/>
    <w:rsid w:val="00D95F3D"/>
    <w:rsid w:val="00D964C3"/>
    <w:rsid w:val="00D97B68"/>
    <w:rsid w:val="00D97C8B"/>
    <w:rsid w:val="00D97E23"/>
    <w:rsid w:val="00DA0C01"/>
    <w:rsid w:val="00DA143E"/>
    <w:rsid w:val="00DA3E6A"/>
    <w:rsid w:val="00DA41AA"/>
    <w:rsid w:val="00DA46F2"/>
    <w:rsid w:val="00DA4E20"/>
    <w:rsid w:val="00DA5930"/>
    <w:rsid w:val="00DA65C1"/>
    <w:rsid w:val="00DA6FDF"/>
    <w:rsid w:val="00DA7326"/>
    <w:rsid w:val="00DA74E1"/>
    <w:rsid w:val="00DA75BF"/>
    <w:rsid w:val="00DB007F"/>
    <w:rsid w:val="00DB05FC"/>
    <w:rsid w:val="00DB0850"/>
    <w:rsid w:val="00DB08C2"/>
    <w:rsid w:val="00DB0A47"/>
    <w:rsid w:val="00DB363C"/>
    <w:rsid w:val="00DB4DB8"/>
    <w:rsid w:val="00DB6379"/>
    <w:rsid w:val="00DB63C4"/>
    <w:rsid w:val="00DB657D"/>
    <w:rsid w:val="00DC11D6"/>
    <w:rsid w:val="00DC2416"/>
    <w:rsid w:val="00DC3186"/>
    <w:rsid w:val="00DC5738"/>
    <w:rsid w:val="00DC5B10"/>
    <w:rsid w:val="00DC6236"/>
    <w:rsid w:val="00DC6569"/>
    <w:rsid w:val="00DC6A94"/>
    <w:rsid w:val="00DC74F0"/>
    <w:rsid w:val="00DC7A32"/>
    <w:rsid w:val="00DD033A"/>
    <w:rsid w:val="00DD0A48"/>
    <w:rsid w:val="00DD0D4A"/>
    <w:rsid w:val="00DD223B"/>
    <w:rsid w:val="00DD25DB"/>
    <w:rsid w:val="00DD2B56"/>
    <w:rsid w:val="00DD2C1A"/>
    <w:rsid w:val="00DD2C62"/>
    <w:rsid w:val="00DD5308"/>
    <w:rsid w:val="00DD56B9"/>
    <w:rsid w:val="00DD6500"/>
    <w:rsid w:val="00DD6AD2"/>
    <w:rsid w:val="00DE0BDD"/>
    <w:rsid w:val="00DE1887"/>
    <w:rsid w:val="00DE2535"/>
    <w:rsid w:val="00DE317A"/>
    <w:rsid w:val="00DE3B1B"/>
    <w:rsid w:val="00DE5CA4"/>
    <w:rsid w:val="00DE62F2"/>
    <w:rsid w:val="00DE64AE"/>
    <w:rsid w:val="00DE6A91"/>
    <w:rsid w:val="00DE6D98"/>
    <w:rsid w:val="00DE7484"/>
    <w:rsid w:val="00DF2BED"/>
    <w:rsid w:val="00DF39C9"/>
    <w:rsid w:val="00DF56C2"/>
    <w:rsid w:val="00DF5AA0"/>
    <w:rsid w:val="00DF71FB"/>
    <w:rsid w:val="00E000D6"/>
    <w:rsid w:val="00E001D1"/>
    <w:rsid w:val="00E020F8"/>
    <w:rsid w:val="00E02153"/>
    <w:rsid w:val="00E02A30"/>
    <w:rsid w:val="00E0390B"/>
    <w:rsid w:val="00E03F39"/>
    <w:rsid w:val="00E0671B"/>
    <w:rsid w:val="00E0712A"/>
    <w:rsid w:val="00E07BF3"/>
    <w:rsid w:val="00E07FF7"/>
    <w:rsid w:val="00E11BDA"/>
    <w:rsid w:val="00E12194"/>
    <w:rsid w:val="00E12918"/>
    <w:rsid w:val="00E12AA1"/>
    <w:rsid w:val="00E12D24"/>
    <w:rsid w:val="00E12EC4"/>
    <w:rsid w:val="00E13039"/>
    <w:rsid w:val="00E14772"/>
    <w:rsid w:val="00E1497B"/>
    <w:rsid w:val="00E14DB8"/>
    <w:rsid w:val="00E16750"/>
    <w:rsid w:val="00E16BE3"/>
    <w:rsid w:val="00E1748B"/>
    <w:rsid w:val="00E174FA"/>
    <w:rsid w:val="00E175D7"/>
    <w:rsid w:val="00E2183C"/>
    <w:rsid w:val="00E21AC3"/>
    <w:rsid w:val="00E21BFE"/>
    <w:rsid w:val="00E22AB0"/>
    <w:rsid w:val="00E22C16"/>
    <w:rsid w:val="00E231B4"/>
    <w:rsid w:val="00E23B82"/>
    <w:rsid w:val="00E23CA9"/>
    <w:rsid w:val="00E247A1"/>
    <w:rsid w:val="00E24CF7"/>
    <w:rsid w:val="00E24ED0"/>
    <w:rsid w:val="00E25910"/>
    <w:rsid w:val="00E26434"/>
    <w:rsid w:val="00E26FE2"/>
    <w:rsid w:val="00E26FF1"/>
    <w:rsid w:val="00E30500"/>
    <w:rsid w:val="00E31431"/>
    <w:rsid w:val="00E32132"/>
    <w:rsid w:val="00E322A2"/>
    <w:rsid w:val="00E32B5B"/>
    <w:rsid w:val="00E32D4B"/>
    <w:rsid w:val="00E33370"/>
    <w:rsid w:val="00E33395"/>
    <w:rsid w:val="00E33735"/>
    <w:rsid w:val="00E33DC7"/>
    <w:rsid w:val="00E34055"/>
    <w:rsid w:val="00E34C09"/>
    <w:rsid w:val="00E35C22"/>
    <w:rsid w:val="00E35EA9"/>
    <w:rsid w:val="00E3689C"/>
    <w:rsid w:val="00E36AFC"/>
    <w:rsid w:val="00E36F06"/>
    <w:rsid w:val="00E37CCF"/>
    <w:rsid w:val="00E42157"/>
    <w:rsid w:val="00E42658"/>
    <w:rsid w:val="00E42EDA"/>
    <w:rsid w:val="00E44752"/>
    <w:rsid w:val="00E45477"/>
    <w:rsid w:val="00E45894"/>
    <w:rsid w:val="00E4594F"/>
    <w:rsid w:val="00E4637E"/>
    <w:rsid w:val="00E46A1F"/>
    <w:rsid w:val="00E50C3F"/>
    <w:rsid w:val="00E535C2"/>
    <w:rsid w:val="00E54E60"/>
    <w:rsid w:val="00E5554B"/>
    <w:rsid w:val="00E56378"/>
    <w:rsid w:val="00E563BC"/>
    <w:rsid w:val="00E56BAA"/>
    <w:rsid w:val="00E57767"/>
    <w:rsid w:val="00E57D40"/>
    <w:rsid w:val="00E60042"/>
    <w:rsid w:val="00E609C0"/>
    <w:rsid w:val="00E618A1"/>
    <w:rsid w:val="00E633DC"/>
    <w:rsid w:val="00E64A6D"/>
    <w:rsid w:val="00E64F5C"/>
    <w:rsid w:val="00E65BE8"/>
    <w:rsid w:val="00E665A4"/>
    <w:rsid w:val="00E66CC7"/>
    <w:rsid w:val="00E6747E"/>
    <w:rsid w:val="00E67C16"/>
    <w:rsid w:val="00E700B2"/>
    <w:rsid w:val="00E71234"/>
    <w:rsid w:val="00E71267"/>
    <w:rsid w:val="00E71CE7"/>
    <w:rsid w:val="00E723A5"/>
    <w:rsid w:val="00E727AD"/>
    <w:rsid w:val="00E77841"/>
    <w:rsid w:val="00E80181"/>
    <w:rsid w:val="00E80715"/>
    <w:rsid w:val="00E807C3"/>
    <w:rsid w:val="00E8305A"/>
    <w:rsid w:val="00E841C9"/>
    <w:rsid w:val="00E84ADD"/>
    <w:rsid w:val="00E85159"/>
    <w:rsid w:val="00E866A8"/>
    <w:rsid w:val="00E86948"/>
    <w:rsid w:val="00E90554"/>
    <w:rsid w:val="00E92123"/>
    <w:rsid w:val="00E92686"/>
    <w:rsid w:val="00E928A4"/>
    <w:rsid w:val="00E949B1"/>
    <w:rsid w:val="00E94A39"/>
    <w:rsid w:val="00E96B56"/>
    <w:rsid w:val="00E96D88"/>
    <w:rsid w:val="00EA0DBF"/>
    <w:rsid w:val="00EA1496"/>
    <w:rsid w:val="00EA26D3"/>
    <w:rsid w:val="00EA335A"/>
    <w:rsid w:val="00EA413B"/>
    <w:rsid w:val="00EA4424"/>
    <w:rsid w:val="00EA48CD"/>
    <w:rsid w:val="00EA4B4C"/>
    <w:rsid w:val="00EA4BFB"/>
    <w:rsid w:val="00EA4D32"/>
    <w:rsid w:val="00EA4FA6"/>
    <w:rsid w:val="00EA54B1"/>
    <w:rsid w:val="00EA57A1"/>
    <w:rsid w:val="00EA6067"/>
    <w:rsid w:val="00EA6D00"/>
    <w:rsid w:val="00EA7C59"/>
    <w:rsid w:val="00EB0EF2"/>
    <w:rsid w:val="00EB1525"/>
    <w:rsid w:val="00EB27AD"/>
    <w:rsid w:val="00EB2B82"/>
    <w:rsid w:val="00EB2D5C"/>
    <w:rsid w:val="00EB4450"/>
    <w:rsid w:val="00EB4687"/>
    <w:rsid w:val="00EB4760"/>
    <w:rsid w:val="00EB4AD0"/>
    <w:rsid w:val="00EB4FC4"/>
    <w:rsid w:val="00EB50C4"/>
    <w:rsid w:val="00EB5375"/>
    <w:rsid w:val="00EB54C7"/>
    <w:rsid w:val="00EB5D3D"/>
    <w:rsid w:val="00EB638F"/>
    <w:rsid w:val="00EB6E6C"/>
    <w:rsid w:val="00EC09CE"/>
    <w:rsid w:val="00EC0A1D"/>
    <w:rsid w:val="00EC1CEE"/>
    <w:rsid w:val="00EC226C"/>
    <w:rsid w:val="00EC4508"/>
    <w:rsid w:val="00EC4BC7"/>
    <w:rsid w:val="00EC64B3"/>
    <w:rsid w:val="00ED0785"/>
    <w:rsid w:val="00ED097F"/>
    <w:rsid w:val="00ED1443"/>
    <w:rsid w:val="00ED190B"/>
    <w:rsid w:val="00ED1C0F"/>
    <w:rsid w:val="00ED1C10"/>
    <w:rsid w:val="00ED3A0B"/>
    <w:rsid w:val="00ED41F6"/>
    <w:rsid w:val="00ED4C22"/>
    <w:rsid w:val="00ED663A"/>
    <w:rsid w:val="00ED690C"/>
    <w:rsid w:val="00ED69E3"/>
    <w:rsid w:val="00ED6C43"/>
    <w:rsid w:val="00ED6C71"/>
    <w:rsid w:val="00ED6E60"/>
    <w:rsid w:val="00ED6EBF"/>
    <w:rsid w:val="00ED7591"/>
    <w:rsid w:val="00EE027B"/>
    <w:rsid w:val="00EE1C01"/>
    <w:rsid w:val="00EE21C7"/>
    <w:rsid w:val="00EE22AF"/>
    <w:rsid w:val="00EE2C03"/>
    <w:rsid w:val="00EE3522"/>
    <w:rsid w:val="00EE37F3"/>
    <w:rsid w:val="00EE502E"/>
    <w:rsid w:val="00EE54B3"/>
    <w:rsid w:val="00EE5A37"/>
    <w:rsid w:val="00EE6924"/>
    <w:rsid w:val="00EE7075"/>
    <w:rsid w:val="00EE7793"/>
    <w:rsid w:val="00EF2180"/>
    <w:rsid w:val="00EF21DE"/>
    <w:rsid w:val="00EF3785"/>
    <w:rsid w:val="00EF401D"/>
    <w:rsid w:val="00EF4F96"/>
    <w:rsid w:val="00EF5354"/>
    <w:rsid w:val="00EF5AF3"/>
    <w:rsid w:val="00EF6853"/>
    <w:rsid w:val="00EF7AEA"/>
    <w:rsid w:val="00EF7CC7"/>
    <w:rsid w:val="00F00260"/>
    <w:rsid w:val="00F00A05"/>
    <w:rsid w:val="00F01E37"/>
    <w:rsid w:val="00F030F3"/>
    <w:rsid w:val="00F03E08"/>
    <w:rsid w:val="00F03F01"/>
    <w:rsid w:val="00F05989"/>
    <w:rsid w:val="00F05D3C"/>
    <w:rsid w:val="00F07340"/>
    <w:rsid w:val="00F07BE3"/>
    <w:rsid w:val="00F07C72"/>
    <w:rsid w:val="00F1203C"/>
    <w:rsid w:val="00F1307E"/>
    <w:rsid w:val="00F136CF"/>
    <w:rsid w:val="00F15C11"/>
    <w:rsid w:val="00F163D9"/>
    <w:rsid w:val="00F16ACB"/>
    <w:rsid w:val="00F16B4F"/>
    <w:rsid w:val="00F21897"/>
    <w:rsid w:val="00F22244"/>
    <w:rsid w:val="00F2263E"/>
    <w:rsid w:val="00F229A6"/>
    <w:rsid w:val="00F22CAB"/>
    <w:rsid w:val="00F22E10"/>
    <w:rsid w:val="00F22EEC"/>
    <w:rsid w:val="00F2400A"/>
    <w:rsid w:val="00F246ED"/>
    <w:rsid w:val="00F24921"/>
    <w:rsid w:val="00F24ACB"/>
    <w:rsid w:val="00F257D8"/>
    <w:rsid w:val="00F25B8E"/>
    <w:rsid w:val="00F26542"/>
    <w:rsid w:val="00F3013E"/>
    <w:rsid w:val="00F304D2"/>
    <w:rsid w:val="00F30617"/>
    <w:rsid w:val="00F3098D"/>
    <w:rsid w:val="00F30ECD"/>
    <w:rsid w:val="00F31630"/>
    <w:rsid w:val="00F318B0"/>
    <w:rsid w:val="00F322C2"/>
    <w:rsid w:val="00F32D8B"/>
    <w:rsid w:val="00F334B7"/>
    <w:rsid w:val="00F342DE"/>
    <w:rsid w:val="00F356B1"/>
    <w:rsid w:val="00F35E33"/>
    <w:rsid w:val="00F3651E"/>
    <w:rsid w:val="00F36EC4"/>
    <w:rsid w:val="00F372E3"/>
    <w:rsid w:val="00F37E4C"/>
    <w:rsid w:val="00F400B0"/>
    <w:rsid w:val="00F4277E"/>
    <w:rsid w:val="00F446E4"/>
    <w:rsid w:val="00F44BCB"/>
    <w:rsid w:val="00F4557E"/>
    <w:rsid w:val="00F45A61"/>
    <w:rsid w:val="00F46244"/>
    <w:rsid w:val="00F47780"/>
    <w:rsid w:val="00F47C9B"/>
    <w:rsid w:val="00F504C3"/>
    <w:rsid w:val="00F50C89"/>
    <w:rsid w:val="00F5117C"/>
    <w:rsid w:val="00F51B3B"/>
    <w:rsid w:val="00F52C09"/>
    <w:rsid w:val="00F538DE"/>
    <w:rsid w:val="00F545A3"/>
    <w:rsid w:val="00F55E8E"/>
    <w:rsid w:val="00F55EEE"/>
    <w:rsid w:val="00F57802"/>
    <w:rsid w:val="00F57992"/>
    <w:rsid w:val="00F610CE"/>
    <w:rsid w:val="00F613F7"/>
    <w:rsid w:val="00F63DEC"/>
    <w:rsid w:val="00F65A8D"/>
    <w:rsid w:val="00F660A1"/>
    <w:rsid w:val="00F6721D"/>
    <w:rsid w:val="00F73869"/>
    <w:rsid w:val="00F77206"/>
    <w:rsid w:val="00F77749"/>
    <w:rsid w:val="00F805AE"/>
    <w:rsid w:val="00F81BD4"/>
    <w:rsid w:val="00F844CF"/>
    <w:rsid w:val="00F850B1"/>
    <w:rsid w:val="00F87208"/>
    <w:rsid w:val="00F90BBD"/>
    <w:rsid w:val="00F91AD4"/>
    <w:rsid w:val="00F9278A"/>
    <w:rsid w:val="00F92EDD"/>
    <w:rsid w:val="00F9375A"/>
    <w:rsid w:val="00F93B0A"/>
    <w:rsid w:val="00F94895"/>
    <w:rsid w:val="00F948BF"/>
    <w:rsid w:val="00F94A99"/>
    <w:rsid w:val="00F95204"/>
    <w:rsid w:val="00F95361"/>
    <w:rsid w:val="00F95AAE"/>
    <w:rsid w:val="00F95E5C"/>
    <w:rsid w:val="00F96285"/>
    <w:rsid w:val="00F9736F"/>
    <w:rsid w:val="00FA0CD5"/>
    <w:rsid w:val="00FA47AA"/>
    <w:rsid w:val="00FA53FC"/>
    <w:rsid w:val="00FA5EF2"/>
    <w:rsid w:val="00FA63BD"/>
    <w:rsid w:val="00FA6BE0"/>
    <w:rsid w:val="00FA7706"/>
    <w:rsid w:val="00FB03D3"/>
    <w:rsid w:val="00FB12B6"/>
    <w:rsid w:val="00FB2AB7"/>
    <w:rsid w:val="00FB390F"/>
    <w:rsid w:val="00FB3D24"/>
    <w:rsid w:val="00FB41B3"/>
    <w:rsid w:val="00FB6DF9"/>
    <w:rsid w:val="00FC00CD"/>
    <w:rsid w:val="00FC0C06"/>
    <w:rsid w:val="00FC196B"/>
    <w:rsid w:val="00FC1C89"/>
    <w:rsid w:val="00FC3621"/>
    <w:rsid w:val="00FC5394"/>
    <w:rsid w:val="00FC5455"/>
    <w:rsid w:val="00FC5A18"/>
    <w:rsid w:val="00FC5BE8"/>
    <w:rsid w:val="00FC6F81"/>
    <w:rsid w:val="00FC7AE9"/>
    <w:rsid w:val="00FD0367"/>
    <w:rsid w:val="00FD15AA"/>
    <w:rsid w:val="00FD1FA4"/>
    <w:rsid w:val="00FD5037"/>
    <w:rsid w:val="00FD5123"/>
    <w:rsid w:val="00FD64BB"/>
    <w:rsid w:val="00FD6C68"/>
    <w:rsid w:val="00FD6E27"/>
    <w:rsid w:val="00FD6F11"/>
    <w:rsid w:val="00FE1190"/>
    <w:rsid w:val="00FE132C"/>
    <w:rsid w:val="00FE3AA5"/>
    <w:rsid w:val="00FE40CA"/>
    <w:rsid w:val="00FE4ADA"/>
    <w:rsid w:val="00FE5119"/>
    <w:rsid w:val="00FE5F66"/>
    <w:rsid w:val="00FE601F"/>
    <w:rsid w:val="00FE62D6"/>
    <w:rsid w:val="00FE70D9"/>
    <w:rsid w:val="00FE70DC"/>
    <w:rsid w:val="00FE78A2"/>
    <w:rsid w:val="00FF0258"/>
    <w:rsid w:val="00FF06F5"/>
    <w:rsid w:val="00FF0DBB"/>
    <w:rsid w:val="00FF21DE"/>
    <w:rsid w:val="00FF3897"/>
    <w:rsid w:val="00FF473E"/>
    <w:rsid w:val="00FF4744"/>
    <w:rsid w:val="00FF4BD3"/>
    <w:rsid w:val="00FF5448"/>
    <w:rsid w:val="00FF6E9E"/>
    <w:rsid w:val="00FF7AFB"/>
    <w:rsid w:val="00FF7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EE0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58"/>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character" w:customStyle="1" w:styleId="BalloonTextChar1">
    <w:name w:val="Balloon Text Char1"/>
    <w:basedOn w:val="DefaultParagraphFon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link w:val="Bullet1Char"/>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customStyle="1" w:styleId="ExhibitSourcePortrait">
    <w:name w:val="ExhibitSource_Portrait"/>
    <w:basedOn w:val="Normal"/>
    <w:qFormat/>
    <w:rsid w:val="00912978"/>
    <w:pPr>
      <w:spacing w:before="12600" w:after="120"/>
    </w:pPr>
    <w:rPr>
      <w:i/>
      <w:sz w:val="16"/>
    </w:rPr>
  </w:style>
  <w:style w:type="paragraph" w:customStyle="1" w:styleId="ExhibitSource11x17">
    <w:name w:val="ExhibitSource_11x17"/>
    <w:basedOn w:val="ExhibitSourcePortrait"/>
    <w:qFormat/>
    <w:rsid w:val="00912978"/>
  </w:style>
  <w:style w:type="paragraph" w:customStyle="1" w:styleId="ExhibitSourceLandscape">
    <w:name w:val="ExhibitSource_Landscape"/>
    <w:basedOn w:val="ExhibitSourcePortrait"/>
    <w:qFormat/>
    <w:rsid w:val="00912978"/>
    <w:pPr>
      <w:spacing w:before="9120"/>
      <w:ind w:left="187" w:right="2160"/>
    </w:pPr>
  </w:style>
  <w:style w:type="paragraph" w:customStyle="1" w:styleId="ExhibitTitlePortrait">
    <w:name w:val="ExhibitTitle_Portrait"/>
    <w:basedOn w:val="Normal"/>
    <w:qFormat/>
    <w:rsid w:val="00912978"/>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912978"/>
    <w:pPr>
      <w:tabs>
        <w:tab w:val="clear" w:pos="8640"/>
        <w:tab w:val="right" w:pos="12240"/>
      </w:tabs>
    </w:pPr>
  </w:style>
  <w:style w:type="paragraph" w:customStyle="1" w:styleId="ExhibitTitle11x17">
    <w:name w:val="ExhibitTitle11x17"/>
    <w:basedOn w:val="Normal"/>
    <w:qFormat/>
    <w:rsid w:val="00912978"/>
    <w:pPr>
      <w:tabs>
        <w:tab w:val="right" w:pos="20520"/>
      </w:tabs>
      <w:ind w:right="1440"/>
    </w:pPr>
    <w:rPr>
      <w:rFonts w:ascii="Franklin Gothic Demi" w:hAnsi="Franklin Gothic Demi"/>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table" w:styleId="LightShading">
    <w:name w:val="Light Shading"/>
    <w:basedOn w:val="TableNormal"/>
    <w:uiPriority w:val="60"/>
    <w:rsid w:val="00E4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OCHEAD">
    <w:name w:val="TOCHEAD"/>
    <w:basedOn w:val="Heading1"/>
    <w:qFormat/>
    <w:rsid w:val="00E42658"/>
    <w:pPr>
      <w:numPr>
        <w:numId w:val="0"/>
      </w:numPr>
    </w:pPr>
  </w:style>
  <w:style w:type="table" w:styleId="TableGrid">
    <w:name w:val="Table Grid"/>
    <w:basedOn w:val="TableNormal"/>
    <w:uiPriority w:val="39"/>
    <w:rsid w:val="00E4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912978"/>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table" w:styleId="TableGrid1">
    <w:name w:val="Table Grid 1"/>
    <w:basedOn w:val="TableNormal"/>
    <w:uiPriority w:val="99"/>
    <w:semiHidden/>
    <w:unhideWhenUsed/>
    <w:rsid w:val="00E4265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nospace">
    <w:name w:val="Bullet 1_no space"/>
    <w:basedOn w:val="Bullet1"/>
    <w:qFormat/>
    <w:rsid w:val="00912978"/>
    <w:pPr>
      <w:spacing w:after="0"/>
    </w:pPr>
  </w:style>
  <w:style w:type="paragraph" w:customStyle="1" w:styleId="Bullet2nospace">
    <w:name w:val="Bullet 2_no space"/>
    <w:basedOn w:val="Bullet2"/>
    <w:qFormat/>
    <w:rsid w:val="00912978"/>
    <w:pPr>
      <w:spacing w:after="0"/>
    </w:pPr>
  </w:style>
  <w:style w:type="paragraph" w:customStyle="1" w:styleId="Bullet3nospace">
    <w:name w:val="Bullet 3_no space"/>
    <w:basedOn w:val="Bullet3"/>
    <w:qFormat/>
    <w:rsid w:val="00912978"/>
    <w:pPr>
      <w:spacing w:after="0"/>
    </w:pPr>
  </w:style>
  <w:style w:type="paragraph" w:customStyle="1" w:styleId="TableBullet2">
    <w:name w:val="Table Bullet 2"/>
    <w:basedOn w:val="TableBullet1"/>
    <w:qFormat/>
    <w:rsid w:val="00E42658"/>
    <w:pPr>
      <w:numPr>
        <w:numId w:val="7"/>
      </w:numPr>
      <w:ind w:left="374" w:hanging="187"/>
    </w:pPr>
  </w:style>
  <w:style w:type="paragraph" w:customStyle="1" w:styleId="MMBullet1nospace">
    <w:name w:val="MM Bullet 1_no space"/>
    <w:basedOn w:val="MMBullet1"/>
    <w:qFormat/>
    <w:rsid w:val="00912978"/>
    <w:pPr>
      <w:spacing w:after="0"/>
    </w:pPr>
  </w:style>
  <w:style w:type="paragraph" w:customStyle="1" w:styleId="MMBullet2nospace">
    <w:name w:val="MM Bullet 2_no space"/>
    <w:basedOn w:val="MMBullet2"/>
    <w:qFormat/>
    <w:rsid w:val="00912978"/>
    <w:pPr>
      <w:spacing w:after="0"/>
    </w:pPr>
  </w:style>
  <w:style w:type="paragraph" w:customStyle="1" w:styleId="MMBullet3">
    <w:name w:val="MM Bullet 3"/>
    <w:basedOn w:val="BodyText"/>
    <w:qFormat/>
    <w:rsid w:val="00E42658"/>
    <w:pPr>
      <w:numPr>
        <w:numId w:val="8"/>
      </w:numPr>
    </w:pPr>
  </w:style>
  <w:style w:type="paragraph" w:customStyle="1" w:styleId="MMBullet3nospace">
    <w:name w:val="MM Bullet 3_no space"/>
    <w:basedOn w:val="MMBullet3"/>
    <w:qFormat/>
    <w:rsid w:val="00912978"/>
    <w:pPr>
      <w:spacing w:after="0"/>
    </w:pPr>
  </w:style>
  <w:style w:type="paragraph" w:customStyle="1" w:styleId="AppendixLetter">
    <w:name w:val="AppendixLetter"/>
    <w:basedOn w:val="Normal"/>
    <w:qFormat/>
    <w:rsid w:val="00E426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E426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E42658"/>
    <w:pPr>
      <w:spacing w:after="200" w:line="276" w:lineRule="auto"/>
      <w:jc w:val="center"/>
    </w:pPr>
    <w:rPr>
      <w:sz w:val="24"/>
      <w:szCs w:val="28"/>
    </w:rPr>
  </w:style>
  <w:style w:type="paragraph" w:customStyle="1" w:styleId="TitleDate">
    <w:name w:val="Title_Date"/>
    <w:basedOn w:val="Normal"/>
    <w:qFormat/>
    <w:rsid w:val="00E42658"/>
    <w:pPr>
      <w:spacing w:before="2640" w:after="200" w:line="276" w:lineRule="auto"/>
      <w:jc w:val="center"/>
    </w:pPr>
    <w:rPr>
      <w:rFonts w:ascii="Trebuchet MS" w:hAnsi="Trebuchet MS"/>
      <w:sz w:val="32"/>
      <w:szCs w:val="28"/>
    </w:rPr>
  </w:style>
  <w:style w:type="paragraph" w:customStyle="1" w:styleId="TitlePN">
    <w:name w:val="Title_PN"/>
    <w:basedOn w:val="Normal"/>
    <w:qFormat/>
    <w:rsid w:val="00E42658"/>
    <w:rPr>
      <w:rFonts w:ascii="Trebuchet MS" w:hAnsi="Trebuchet MS"/>
      <w:sz w:val="16"/>
      <w:szCs w:val="16"/>
    </w:rPr>
  </w:style>
  <w:style w:type="paragraph" w:customStyle="1" w:styleId="TitlePreparedFor">
    <w:name w:val="Title_PreparedFor"/>
    <w:basedOn w:val="Normal"/>
    <w:qFormat/>
    <w:rsid w:val="00E42658"/>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E42658"/>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E42658"/>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912978"/>
    <w:pPr>
      <w:spacing w:before="120" w:after="120" w:line="276" w:lineRule="auto"/>
      <w:jc w:val="center"/>
    </w:pPr>
    <w:rPr>
      <w:rFonts w:ascii="Franklin Gothic Medium" w:hAnsi="Franklin Gothic Medium"/>
      <w:sz w:val="28"/>
      <w:szCs w:val="24"/>
    </w:r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customStyle="1" w:styleId="BodyText12ptBefore">
    <w:name w:val="Body Text_12pt_Before"/>
    <w:basedOn w:val="BodyText"/>
    <w:link w:val="BodyText12ptBeforeChar"/>
    <w:qFormat/>
    <w:rsid w:val="009A1A9D"/>
    <w:pPr>
      <w:spacing w:before="240"/>
    </w:pPr>
    <w:rPr>
      <w:rFonts w:ascii="Calibri" w:eastAsia="Times New Roman" w:hAnsi="Calibri" w:cs="Times New Roman"/>
      <w:szCs w:val="24"/>
    </w:rPr>
  </w:style>
  <w:style w:type="paragraph" w:customStyle="1" w:styleId="Bullet112ptAfter">
    <w:name w:val="Bullet 1_12pt_After"/>
    <w:basedOn w:val="Normal"/>
    <w:qFormat/>
    <w:rsid w:val="00A825AB"/>
    <w:pPr>
      <w:spacing w:after="240"/>
      <w:ind w:left="360" w:hanging="360"/>
    </w:pPr>
    <w:rPr>
      <w:rFonts w:ascii="Calibri" w:eastAsia="Times New Roman" w:hAnsi="Calibri" w:cs="Times New Roman"/>
      <w:bCs/>
      <w:szCs w:val="24"/>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0">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Reference">
    <w:name w:val="Body Text_Reference"/>
    <w:basedOn w:val="BodyText"/>
    <w:link w:val="BodyTextReferenceChar"/>
    <w:qFormat/>
    <w:rsid w:val="00A570B8"/>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A570B8"/>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AgendaDetails">
    <w:name w:val="Agenda_Details"/>
    <w:basedOn w:val="Normal"/>
    <w:uiPriority w:val="99"/>
    <w:qFormat/>
    <w:rsid w:val="00912978"/>
    <w:pPr>
      <w:spacing w:before="240" w:after="240"/>
      <w:jc w:val="center"/>
    </w:pPr>
    <w:rPr>
      <w:rFonts w:ascii="Franklin Gothic Medium" w:hAnsi="Franklin Gothic Medium"/>
      <w:sz w:val="28"/>
      <w:szCs w:val="28"/>
    </w:rPr>
  </w:style>
  <w:style w:type="paragraph" w:styleId="ListParagraph">
    <w:name w:val="List Paragraph"/>
    <w:basedOn w:val="Normal"/>
    <w:uiPriority w:val="34"/>
    <w:qFormat/>
    <w:rsid w:val="00853D0E"/>
    <w:pPr>
      <w:ind w:left="720"/>
      <w:contextualSpacing/>
    </w:pPr>
    <w:rPr>
      <w:rFonts w:ascii="Cambria" w:eastAsia="MS Mincho" w:hAnsi="Cambria" w:cs="Times New Roman"/>
      <w:sz w:val="24"/>
      <w:szCs w:val="24"/>
    </w:rPr>
  </w:style>
  <w:style w:type="paragraph" w:customStyle="1" w:styleId="Exhibit">
    <w:name w:val="Exhibit"/>
    <w:basedOn w:val="Normal"/>
    <w:qFormat/>
    <w:rsid w:val="00E42658"/>
    <w:pPr>
      <w:keepNext/>
      <w:jc w:val="center"/>
    </w:pPr>
  </w:style>
  <w:style w:type="paragraph" w:customStyle="1" w:styleId="ExhibitSource">
    <w:name w:val="ExhibitSource"/>
    <w:basedOn w:val="Normal"/>
    <w:qFormat/>
    <w:rsid w:val="00E42658"/>
    <w:pPr>
      <w:keepNext/>
      <w:spacing w:after="120"/>
    </w:pPr>
    <w:rPr>
      <w:sz w:val="16"/>
    </w:rPr>
  </w:style>
  <w:style w:type="paragraph" w:customStyle="1" w:styleId="ExhibitTitle">
    <w:name w:val="ExhibitTitle"/>
    <w:basedOn w:val="Normal"/>
    <w:qFormat/>
    <w:rsid w:val="00E42658"/>
    <w:pPr>
      <w:spacing w:before="360"/>
    </w:pPr>
    <w:rPr>
      <w:b/>
    </w:rPr>
  </w:style>
  <w:style w:type="character" w:customStyle="1" w:styleId="A8">
    <w:name w:val="A8"/>
    <w:uiPriority w:val="99"/>
    <w:rsid w:val="00F03E08"/>
    <w:rPr>
      <w:rFonts w:cs="FrutigerLight"/>
      <w:color w:val="211D1E"/>
      <w:sz w:val="19"/>
      <w:szCs w:val="19"/>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DE7484"/>
    <w:rPr>
      <w:color w:val="2B579A"/>
      <w:shd w:val="clear" w:color="auto" w:fill="E6E6E6"/>
    </w:rPr>
  </w:style>
  <w:style w:type="character" w:customStyle="1" w:styleId="BodyText12ptBeforeChar">
    <w:name w:val="Body Text_12pt_Before Char"/>
    <w:basedOn w:val="DefaultParagraphFont"/>
    <w:link w:val="BodyText12ptBefore"/>
    <w:rsid w:val="003936ED"/>
    <w:rPr>
      <w:rFonts w:ascii="Calibri" w:eastAsia="Times New Roman" w:hAnsi="Calibri" w:cs="Times New Roman"/>
      <w:szCs w:val="24"/>
    </w:rPr>
  </w:style>
  <w:style w:type="paragraph" w:styleId="Caption">
    <w:name w:val="caption"/>
    <w:basedOn w:val="Normal"/>
    <w:next w:val="Normal"/>
    <w:uiPriority w:val="35"/>
    <w:unhideWhenUsed/>
    <w:qFormat/>
    <w:rsid w:val="00E42658"/>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E42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0">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CoverReportType">
    <w:name w:val="Cover_Report Type"/>
    <w:basedOn w:val="Normal"/>
    <w:qFormat/>
    <w:rsid w:val="00E426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E426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E42658"/>
    <w:pPr>
      <w:spacing w:before="5520"/>
      <w:jc w:val="right"/>
    </w:pPr>
    <w:rPr>
      <w:rFonts w:ascii="Trebuchet MS" w:hAnsi="Trebuchet MS"/>
      <w:color w:val="FFFFFF" w:themeColor="background1"/>
      <w:sz w:val="22"/>
    </w:rPr>
  </w:style>
  <w:style w:type="paragraph" w:customStyle="1" w:styleId="CoverDate">
    <w:name w:val="Cover_Date"/>
    <w:basedOn w:val="Normal"/>
    <w:qFormat/>
    <w:rsid w:val="00E42658"/>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UnresolvedMention1">
    <w:name w:val="Unresolved Mention1"/>
    <w:basedOn w:val="DefaultParagraphFont"/>
    <w:uiPriority w:val="99"/>
    <w:semiHidden/>
    <w:unhideWhenUsed/>
    <w:rsid w:val="007932AB"/>
    <w:rPr>
      <w:color w:val="605E5C"/>
      <w:shd w:val="clear" w:color="auto" w:fill="E1DFDD"/>
    </w:rPr>
  </w:style>
  <w:style w:type="character" w:customStyle="1" w:styleId="UnresolvedMention">
    <w:name w:val="Unresolved Mention"/>
    <w:basedOn w:val="DefaultParagraphFont"/>
    <w:uiPriority w:val="99"/>
    <w:semiHidden/>
    <w:unhideWhenUsed/>
    <w:rsid w:val="00232A6D"/>
    <w:rPr>
      <w:color w:val="605E5C"/>
      <w:shd w:val="clear" w:color="auto" w:fill="E1DFDD"/>
    </w:rPr>
  </w:style>
  <w:style w:type="character" w:customStyle="1" w:styleId="Bullet1Char">
    <w:name w:val="Bullet 1 Char"/>
    <w:basedOn w:val="DefaultParagraphFont"/>
    <w:link w:val="Bullet1"/>
    <w:locked/>
    <w:rsid w:val="0053186A"/>
    <w:rPr>
      <w:rFonts w:ascii="Segoe UI Semilight" w:hAnsi="Segoe UI Semilight"/>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4652">
      <w:bodyDiv w:val="1"/>
      <w:marLeft w:val="0"/>
      <w:marRight w:val="0"/>
      <w:marTop w:val="0"/>
      <w:marBottom w:val="0"/>
      <w:divBdr>
        <w:top w:val="none" w:sz="0" w:space="0" w:color="auto"/>
        <w:left w:val="none" w:sz="0" w:space="0" w:color="auto"/>
        <w:bottom w:val="none" w:sz="0" w:space="0" w:color="auto"/>
        <w:right w:val="none" w:sz="0" w:space="0" w:color="auto"/>
      </w:divBdr>
    </w:div>
    <w:div w:id="131093592">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231046222">
      <w:bodyDiv w:val="1"/>
      <w:marLeft w:val="0"/>
      <w:marRight w:val="0"/>
      <w:marTop w:val="0"/>
      <w:marBottom w:val="0"/>
      <w:divBdr>
        <w:top w:val="none" w:sz="0" w:space="0" w:color="auto"/>
        <w:left w:val="none" w:sz="0" w:space="0" w:color="auto"/>
        <w:bottom w:val="none" w:sz="0" w:space="0" w:color="auto"/>
        <w:right w:val="none" w:sz="0" w:space="0" w:color="auto"/>
      </w:divBdr>
    </w:div>
    <w:div w:id="266544468">
      <w:bodyDiv w:val="1"/>
      <w:marLeft w:val="0"/>
      <w:marRight w:val="0"/>
      <w:marTop w:val="0"/>
      <w:marBottom w:val="0"/>
      <w:divBdr>
        <w:top w:val="none" w:sz="0" w:space="0" w:color="auto"/>
        <w:left w:val="none" w:sz="0" w:space="0" w:color="auto"/>
        <w:bottom w:val="none" w:sz="0" w:space="0" w:color="auto"/>
        <w:right w:val="none" w:sz="0" w:space="0" w:color="auto"/>
      </w:divBdr>
    </w:div>
    <w:div w:id="376004513">
      <w:bodyDiv w:val="1"/>
      <w:marLeft w:val="0"/>
      <w:marRight w:val="0"/>
      <w:marTop w:val="0"/>
      <w:marBottom w:val="0"/>
      <w:divBdr>
        <w:top w:val="none" w:sz="0" w:space="0" w:color="auto"/>
        <w:left w:val="none" w:sz="0" w:space="0" w:color="auto"/>
        <w:bottom w:val="none" w:sz="0" w:space="0" w:color="auto"/>
        <w:right w:val="none" w:sz="0" w:space="0" w:color="auto"/>
      </w:divBdr>
    </w:div>
    <w:div w:id="398215655">
      <w:bodyDiv w:val="1"/>
      <w:marLeft w:val="0"/>
      <w:marRight w:val="0"/>
      <w:marTop w:val="0"/>
      <w:marBottom w:val="0"/>
      <w:divBdr>
        <w:top w:val="none" w:sz="0" w:space="0" w:color="auto"/>
        <w:left w:val="none" w:sz="0" w:space="0" w:color="auto"/>
        <w:bottom w:val="none" w:sz="0" w:space="0" w:color="auto"/>
        <w:right w:val="none" w:sz="0" w:space="0" w:color="auto"/>
      </w:divBdr>
    </w:div>
    <w:div w:id="452865129">
      <w:bodyDiv w:val="1"/>
      <w:marLeft w:val="0"/>
      <w:marRight w:val="0"/>
      <w:marTop w:val="0"/>
      <w:marBottom w:val="0"/>
      <w:divBdr>
        <w:top w:val="none" w:sz="0" w:space="0" w:color="auto"/>
        <w:left w:val="none" w:sz="0" w:space="0" w:color="auto"/>
        <w:bottom w:val="none" w:sz="0" w:space="0" w:color="auto"/>
        <w:right w:val="none" w:sz="0" w:space="0" w:color="auto"/>
      </w:divBdr>
    </w:div>
    <w:div w:id="734278188">
      <w:bodyDiv w:val="1"/>
      <w:marLeft w:val="0"/>
      <w:marRight w:val="0"/>
      <w:marTop w:val="0"/>
      <w:marBottom w:val="0"/>
      <w:divBdr>
        <w:top w:val="none" w:sz="0" w:space="0" w:color="auto"/>
        <w:left w:val="none" w:sz="0" w:space="0" w:color="auto"/>
        <w:bottom w:val="none" w:sz="0" w:space="0" w:color="auto"/>
        <w:right w:val="none" w:sz="0" w:space="0" w:color="auto"/>
      </w:divBdr>
    </w:div>
    <w:div w:id="765078012">
      <w:bodyDiv w:val="1"/>
      <w:marLeft w:val="0"/>
      <w:marRight w:val="0"/>
      <w:marTop w:val="0"/>
      <w:marBottom w:val="0"/>
      <w:divBdr>
        <w:top w:val="none" w:sz="0" w:space="0" w:color="auto"/>
        <w:left w:val="none" w:sz="0" w:space="0" w:color="auto"/>
        <w:bottom w:val="none" w:sz="0" w:space="0" w:color="auto"/>
        <w:right w:val="none" w:sz="0" w:space="0" w:color="auto"/>
      </w:divBdr>
    </w:div>
    <w:div w:id="894394408">
      <w:bodyDiv w:val="1"/>
      <w:marLeft w:val="0"/>
      <w:marRight w:val="0"/>
      <w:marTop w:val="0"/>
      <w:marBottom w:val="0"/>
      <w:divBdr>
        <w:top w:val="none" w:sz="0" w:space="0" w:color="auto"/>
        <w:left w:val="none" w:sz="0" w:space="0" w:color="auto"/>
        <w:bottom w:val="none" w:sz="0" w:space="0" w:color="auto"/>
        <w:right w:val="none" w:sz="0" w:space="0" w:color="auto"/>
      </w:divBdr>
    </w:div>
    <w:div w:id="958679445">
      <w:bodyDiv w:val="1"/>
      <w:marLeft w:val="0"/>
      <w:marRight w:val="0"/>
      <w:marTop w:val="0"/>
      <w:marBottom w:val="0"/>
      <w:divBdr>
        <w:top w:val="none" w:sz="0" w:space="0" w:color="auto"/>
        <w:left w:val="none" w:sz="0" w:space="0" w:color="auto"/>
        <w:bottom w:val="none" w:sz="0" w:space="0" w:color="auto"/>
        <w:right w:val="none" w:sz="0" w:space="0" w:color="auto"/>
      </w:divBdr>
    </w:div>
    <w:div w:id="1168250246">
      <w:bodyDiv w:val="1"/>
      <w:marLeft w:val="0"/>
      <w:marRight w:val="0"/>
      <w:marTop w:val="0"/>
      <w:marBottom w:val="0"/>
      <w:divBdr>
        <w:top w:val="none" w:sz="0" w:space="0" w:color="auto"/>
        <w:left w:val="none" w:sz="0" w:space="0" w:color="auto"/>
        <w:bottom w:val="none" w:sz="0" w:space="0" w:color="auto"/>
        <w:right w:val="none" w:sz="0" w:space="0" w:color="auto"/>
      </w:divBdr>
    </w:div>
    <w:div w:id="1179007967">
      <w:bodyDiv w:val="1"/>
      <w:marLeft w:val="0"/>
      <w:marRight w:val="0"/>
      <w:marTop w:val="0"/>
      <w:marBottom w:val="0"/>
      <w:divBdr>
        <w:top w:val="none" w:sz="0" w:space="0" w:color="auto"/>
        <w:left w:val="none" w:sz="0" w:space="0" w:color="auto"/>
        <w:bottom w:val="none" w:sz="0" w:space="0" w:color="auto"/>
        <w:right w:val="none" w:sz="0" w:space="0" w:color="auto"/>
      </w:divBdr>
    </w:div>
    <w:div w:id="1210651052">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4118">
      <w:bodyDiv w:val="1"/>
      <w:marLeft w:val="0"/>
      <w:marRight w:val="0"/>
      <w:marTop w:val="0"/>
      <w:marBottom w:val="0"/>
      <w:divBdr>
        <w:top w:val="none" w:sz="0" w:space="0" w:color="auto"/>
        <w:left w:val="none" w:sz="0" w:space="0" w:color="auto"/>
        <w:bottom w:val="none" w:sz="0" w:space="0" w:color="auto"/>
        <w:right w:val="none" w:sz="0" w:space="0" w:color="auto"/>
      </w:divBdr>
    </w:div>
    <w:div w:id="1400054266">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98694918">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837921247">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02908871">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DECE-2C50-4DB1-B9ED-32E6645D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8171</Words>
  <Characters>46578</Characters>
  <Application>Microsoft Office Word</Application>
  <DocSecurity>8</DocSecurity>
  <PresentationFormat/>
  <Lines>388</Lines>
  <Paragraphs>109</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Manager/>
  <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
  <cp:keywords>California Vegetation Treatment Program, CAL FIRE, Board of Forestry, VTP</cp:keywords>
  <cp:lastModifiedBy/>
  <cp:revision>1</cp:revision>
  <dcterms:created xsi:type="dcterms:W3CDTF">2019-11-25T22:31:00Z</dcterms:created>
  <dcterms:modified xsi:type="dcterms:W3CDTF">2019-11-27T17:00:00Z</dcterms:modified>
</cp:coreProperties>
</file>