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1835" w14:textId="77777777" w:rsidR="00FA71F9" w:rsidRPr="00762DFE" w:rsidRDefault="00FA71F9" w:rsidP="00762DFE">
      <w:pPr>
        <w:ind w:left="-360"/>
        <w:rPr>
          <w:b/>
          <w:sz w:val="18"/>
          <w:szCs w:val="18"/>
        </w:rPr>
      </w:pPr>
      <w:r w:rsidRPr="00762DFE">
        <w:rPr>
          <w:b/>
          <w:sz w:val="18"/>
          <w:szCs w:val="18"/>
        </w:rPr>
        <w:t>State of Cal</w:t>
      </w:r>
      <w:r w:rsidR="00762DFE">
        <w:rPr>
          <w:b/>
          <w:sz w:val="18"/>
          <w:szCs w:val="18"/>
        </w:rPr>
        <w:t>ifornia</w:t>
      </w:r>
      <w:r w:rsidR="00762DFE">
        <w:rPr>
          <w:b/>
          <w:sz w:val="18"/>
          <w:szCs w:val="18"/>
        </w:rPr>
        <w:tab/>
      </w:r>
      <w:r w:rsidR="00762DFE">
        <w:rPr>
          <w:b/>
          <w:sz w:val="18"/>
          <w:szCs w:val="18"/>
        </w:rPr>
        <w:tab/>
      </w:r>
      <w:r w:rsidR="00762DFE">
        <w:rPr>
          <w:b/>
          <w:sz w:val="18"/>
          <w:szCs w:val="18"/>
        </w:rPr>
        <w:tab/>
      </w:r>
      <w:r w:rsidR="00762DFE">
        <w:rPr>
          <w:b/>
          <w:sz w:val="18"/>
          <w:szCs w:val="18"/>
        </w:rPr>
        <w:tab/>
      </w:r>
      <w:r w:rsidR="00762DFE">
        <w:rPr>
          <w:b/>
          <w:sz w:val="18"/>
          <w:szCs w:val="18"/>
        </w:rPr>
        <w:tab/>
      </w:r>
      <w:r w:rsidR="00762DFE">
        <w:rPr>
          <w:b/>
          <w:sz w:val="18"/>
          <w:szCs w:val="18"/>
        </w:rPr>
        <w:tab/>
      </w:r>
      <w:r w:rsidR="00762DFE">
        <w:rPr>
          <w:b/>
          <w:sz w:val="18"/>
          <w:szCs w:val="18"/>
        </w:rPr>
        <w:tab/>
      </w:r>
      <w:r w:rsidR="00762DFE">
        <w:rPr>
          <w:b/>
          <w:sz w:val="18"/>
          <w:szCs w:val="18"/>
        </w:rPr>
        <w:tab/>
        <w:t xml:space="preserve">           </w:t>
      </w:r>
      <w:r w:rsidR="001D74B9" w:rsidRPr="00762DFE">
        <w:rPr>
          <w:b/>
          <w:sz w:val="18"/>
          <w:szCs w:val="18"/>
        </w:rPr>
        <w:t>Natural</w:t>
      </w:r>
      <w:r w:rsidRPr="00762DFE">
        <w:rPr>
          <w:b/>
          <w:sz w:val="18"/>
          <w:szCs w:val="18"/>
        </w:rPr>
        <w:t xml:space="preserve"> Resources Agency</w:t>
      </w:r>
    </w:p>
    <w:p w14:paraId="06F36D84" w14:textId="77777777" w:rsidR="00FA71F9" w:rsidRDefault="00FA71F9" w:rsidP="00F57E7D">
      <w:pPr>
        <w:ind w:left="-360"/>
      </w:pPr>
    </w:p>
    <w:p w14:paraId="43BD26A3" w14:textId="77777777" w:rsidR="00FA71F9" w:rsidRDefault="00FA71F9" w:rsidP="00F57E7D">
      <w:pPr>
        <w:ind w:left="-360"/>
        <w:rPr>
          <w:spacing w:val="100"/>
          <w:sz w:val="36"/>
        </w:rPr>
      </w:pPr>
      <w:r>
        <w:rPr>
          <w:b/>
          <w:spacing w:val="100"/>
          <w:sz w:val="36"/>
        </w:rPr>
        <w:t>Memorandum</w:t>
      </w:r>
    </w:p>
    <w:p w14:paraId="4A801235" w14:textId="77777777" w:rsidR="00FA71F9" w:rsidRDefault="00FA71F9" w:rsidP="00F57E7D">
      <w:pPr>
        <w:ind w:left="-360"/>
        <w:rPr>
          <w:spacing w:val="120"/>
        </w:rPr>
      </w:pPr>
    </w:p>
    <w:p w14:paraId="2E4750AC" w14:textId="77777777" w:rsidR="00FA71F9" w:rsidRDefault="00FA71F9" w:rsidP="00F57E7D">
      <w:pPr>
        <w:ind w:left="90"/>
        <w:rPr>
          <w:spacing w:val="120"/>
        </w:rPr>
      </w:pPr>
    </w:p>
    <w:tbl>
      <w:tblPr>
        <w:tblW w:w="10066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5481"/>
        <w:gridCol w:w="3415"/>
      </w:tblGrid>
      <w:tr w:rsidR="00FA71F9" w14:paraId="15DCC535" w14:textId="77777777" w:rsidTr="00104DED">
        <w:trPr>
          <w:cantSplit/>
          <w:trHeight w:hRule="exact" w:val="2322"/>
        </w:trPr>
        <w:tc>
          <w:tcPr>
            <w:tcW w:w="1170" w:type="dxa"/>
            <w:vAlign w:val="center"/>
          </w:tcPr>
          <w:p w14:paraId="00EEB306" w14:textId="77777777" w:rsidR="00FA71F9" w:rsidRPr="00142305" w:rsidRDefault="00FA71F9" w:rsidP="00E866BD">
            <w:pPr>
              <w:ind w:left="90" w:right="80"/>
              <w:jc w:val="right"/>
              <w:rPr>
                <w:szCs w:val="24"/>
              </w:rPr>
            </w:pPr>
            <w:r w:rsidRPr="00142305">
              <w:rPr>
                <w:b/>
                <w:szCs w:val="24"/>
              </w:rPr>
              <w:t>To:</w:t>
            </w:r>
          </w:p>
          <w:p w14:paraId="6056AD2B" w14:textId="77777777" w:rsidR="00FA71F9" w:rsidRPr="00142305" w:rsidRDefault="00FA71F9" w:rsidP="00E866BD">
            <w:pPr>
              <w:ind w:left="90" w:right="80"/>
              <w:jc w:val="right"/>
              <w:rPr>
                <w:szCs w:val="24"/>
              </w:rPr>
            </w:pPr>
            <w:r w:rsidRPr="00142305">
              <w:rPr>
                <w:szCs w:val="24"/>
              </w:rPr>
              <w:t xml:space="preserve">                                                                                                                            </w:t>
            </w:r>
          </w:p>
          <w:p w14:paraId="783E291B" w14:textId="77777777" w:rsidR="00FA71F9" w:rsidRPr="00142305" w:rsidRDefault="00FA71F9" w:rsidP="00E866BD">
            <w:pPr>
              <w:ind w:left="90" w:right="80"/>
              <w:jc w:val="right"/>
              <w:rPr>
                <w:szCs w:val="24"/>
              </w:rPr>
            </w:pPr>
            <w:r w:rsidRPr="00142305">
              <w:rPr>
                <w:szCs w:val="24"/>
              </w:rPr>
              <w:t xml:space="preserve">                                                                                                                            </w:t>
            </w:r>
          </w:p>
          <w:p w14:paraId="03BBD7FD" w14:textId="77777777" w:rsidR="00FA71F9" w:rsidRPr="00142305" w:rsidRDefault="00FA71F9" w:rsidP="00E866BD">
            <w:pPr>
              <w:ind w:left="90" w:right="80"/>
              <w:jc w:val="right"/>
              <w:rPr>
                <w:szCs w:val="24"/>
              </w:rPr>
            </w:pPr>
            <w:r w:rsidRPr="00142305">
              <w:rPr>
                <w:szCs w:val="24"/>
              </w:rPr>
              <w:t xml:space="preserve">                                                                                                                             </w:t>
            </w:r>
          </w:p>
          <w:p w14:paraId="5859BD08" w14:textId="77777777" w:rsidR="00FA71F9" w:rsidRPr="00142305" w:rsidRDefault="00FA71F9" w:rsidP="00E866BD">
            <w:pPr>
              <w:ind w:left="90" w:right="80"/>
              <w:jc w:val="right"/>
              <w:rPr>
                <w:szCs w:val="24"/>
              </w:rPr>
            </w:pPr>
            <w:r w:rsidRPr="00142305">
              <w:rPr>
                <w:szCs w:val="24"/>
              </w:rPr>
              <w:t xml:space="preserve">                                                                                                                            </w:t>
            </w:r>
          </w:p>
          <w:p w14:paraId="05B5B79F" w14:textId="77777777" w:rsidR="00FA71F9" w:rsidRPr="00142305" w:rsidRDefault="00FA71F9" w:rsidP="00E866BD">
            <w:pPr>
              <w:ind w:left="90" w:right="80"/>
              <w:jc w:val="right"/>
              <w:rPr>
                <w:szCs w:val="24"/>
              </w:rPr>
            </w:pPr>
            <w:r w:rsidRPr="00142305">
              <w:rPr>
                <w:szCs w:val="24"/>
              </w:rPr>
              <w:t xml:space="preserve">                                                                                                                            </w:t>
            </w:r>
          </w:p>
          <w:p w14:paraId="250BF48C" w14:textId="77777777" w:rsidR="00104DED" w:rsidRDefault="00104DED" w:rsidP="00E866BD">
            <w:pPr>
              <w:ind w:left="90" w:right="80"/>
              <w:jc w:val="right"/>
              <w:rPr>
                <w:szCs w:val="24"/>
              </w:rPr>
            </w:pPr>
          </w:p>
          <w:p w14:paraId="27520ED4" w14:textId="6D95C0A2" w:rsidR="00FA71F9" w:rsidRPr="00142305" w:rsidRDefault="00FA71F9" w:rsidP="00E866BD">
            <w:pPr>
              <w:ind w:left="90" w:right="80"/>
              <w:jc w:val="right"/>
              <w:rPr>
                <w:szCs w:val="24"/>
              </w:rPr>
            </w:pPr>
            <w:r w:rsidRPr="00142305">
              <w:rPr>
                <w:szCs w:val="24"/>
              </w:rPr>
              <w:t xml:space="preserve">                                                                                                                            </w:t>
            </w:r>
          </w:p>
          <w:p w14:paraId="120F9A1C" w14:textId="77777777" w:rsidR="00FA71F9" w:rsidRPr="00142305" w:rsidRDefault="00FA71F9" w:rsidP="00E866BD">
            <w:pPr>
              <w:ind w:left="90" w:right="80"/>
              <w:jc w:val="right"/>
              <w:rPr>
                <w:szCs w:val="24"/>
              </w:rPr>
            </w:pPr>
            <w:r w:rsidRPr="00142305">
              <w:rPr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B97D565" w14:textId="77777777" w:rsidR="00FA71F9" w:rsidRPr="00142305" w:rsidRDefault="00FA71F9" w:rsidP="00E866BD">
            <w:pPr>
              <w:ind w:left="90" w:right="80"/>
              <w:jc w:val="right"/>
              <w:rPr>
                <w:szCs w:val="24"/>
              </w:rPr>
            </w:pPr>
          </w:p>
          <w:p w14:paraId="0AE290DC" w14:textId="77777777" w:rsidR="00FA71F9" w:rsidRPr="00142305" w:rsidRDefault="00FA71F9" w:rsidP="00E866BD">
            <w:pPr>
              <w:ind w:left="90" w:right="80"/>
              <w:jc w:val="right"/>
              <w:rPr>
                <w:szCs w:val="24"/>
              </w:rPr>
            </w:pPr>
          </w:p>
          <w:p w14:paraId="30DC037E" w14:textId="77777777" w:rsidR="00FA71F9" w:rsidRPr="00142305" w:rsidRDefault="00FA71F9" w:rsidP="00E866BD">
            <w:pPr>
              <w:ind w:left="90" w:right="80"/>
              <w:jc w:val="right"/>
              <w:rPr>
                <w:szCs w:val="24"/>
              </w:rPr>
            </w:pPr>
          </w:p>
          <w:p w14:paraId="037EBBC3" w14:textId="77777777" w:rsidR="00FA71F9" w:rsidRPr="00142305" w:rsidRDefault="00FA71F9" w:rsidP="00E866BD">
            <w:pPr>
              <w:ind w:left="90" w:right="80"/>
              <w:jc w:val="right"/>
              <w:rPr>
                <w:szCs w:val="24"/>
              </w:rPr>
            </w:pPr>
          </w:p>
          <w:p w14:paraId="2FF5EA27" w14:textId="77777777" w:rsidR="00FA71F9" w:rsidRPr="00142305" w:rsidRDefault="00FA71F9" w:rsidP="00E866BD">
            <w:pPr>
              <w:ind w:left="90" w:right="80"/>
              <w:jc w:val="right"/>
              <w:rPr>
                <w:szCs w:val="24"/>
              </w:rPr>
            </w:pPr>
            <w:r w:rsidRPr="00142305">
              <w:rPr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5481" w:type="dxa"/>
          </w:tcPr>
          <w:p w14:paraId="5C7D1887" w14:textId="77777777" w:rsidR="00FA71F9" w:rsidRDefault="00D23EAF" w:rsidP="009044E4">
            <w:pPr>
              <w:ind w:left="270"/>
            </w:pPr>
            <w:bookmarkStart w:id="0" w:name="Recipient"/>
            <w:bookmarkEnd w:id="0"/>
            <w:r>
              <w:t>Board of Forestry and Fire Protection</w:t>
            </w:r>
          </w:p>
          <w:p w14:paraId="468F3F89" w14:textId="77777777" w:rsidR="00D23EAF" w:rsidRDefault="00D23EAF" w:rsidP="009044E4">
            <w:pPr>
              <w:ind w:left="270"/>
            </w:pPr>
            <w:r>
              <w:t>Forest Practice Committee</w:t>
            </w:r>
          </w:p>
          <w:p w14:paraId="0824AA7F" w14:textId="1C7926EF" w:rsidR="00D23EAF" w:rsidRDefault="00D23EAF" w:rsidP="009044E4">
            <w:pPr>
              <w:ind w:left="270"/>
            </w:pPr>
            <w:r>
              <w:t>June 18, 2024</w:t>
            </w:r>
          </w:p>
        </w:tc>
        <w:tc>
          <w:tcPr>
            <w:tcW w:w="3415" w:type="dxa"/>
          </w:tcPr>
          <w:p w14:paraId="01AD72D4" w14:textId="5942FA31" w:rsidR="00FA71F9" w:rsidRDefault="00FA71F9" w:rsidP="00E866BD">
            <w:pPr>
              <w:ind w:left="270"/>
              <w:rPr>
                <w:szCs w:val="24"/>
              </w:rPr>
            </w:pPr>
            <w:r w:rsidRPr="00C0394B">
              <w:rPr>
                <w:b/>
                <w:sz w:val="20"/>
              </w:rPr>
              <w:t>Date</w:t>
            </w:r>
            <w:r w:rsidRPr="00C0394B">
              <w:rPr>
                <w:sz w:val="20"/>
              </w:rPr>
              <w:t>:</w:t>
            </w:r>
            <w:r w:rsidRPr="00FE6BEC">
              <w:t xml:space="preserve"> </w:t>
            </w:r>
            <w:r w:rsidR="00ED42C6">
              <w:t xml:space="preserve">June </w:t>
            </w:r>
            <w:r w:rsidR="00D23EAF">
              <w:t>5</w:t>
            </w:r>
            <w:r w:rsidR="00BE5679">
              <w:t>, 202</w:t>
            </w:r>
            <w:r w:rsidR="00BE0679">
              <w:t>4</w:t>
            </w:r>
          </w:p>
          <w:p w14:paraId="761AD454" w14:textId="77777777" w:rsidR="00762DFE" w:rsidRDefault="00762DFE" w:rsidP="00E866BD">
            <w:pPr>
              <w:ind w:left="270"/>
            </w:pPr>
          </w:p>
          <w:p w14:paraId="7E5085E3" w14:textId="60984CB8" w:rsidR="00FA71F9" w:rsidRDefault="00FA71F9" w:rsidP="00E866BD">
            <w:pPr>
              <w:ind w:left="270"/>
              <w:rPr>
                <w:szCs w:val="24"/>
              </w:rPr>
            </w:pPr>
            <w:r w:rsidRPr="00C0394B">
              <w:rPr>
                <w:b/>
                <w:sz w:val="20"/>
              </w:rPr>
              <w:t>Telephone:</w:t>
            </w:r>
            <w:r>
              <w:t xml:space="preserve">  </w:t>
            </w:r>
            <w:bookmarkStart w:id="1" w:name="Phone"/>
            <w:bookmarkEnd w:id="1"/>
            <w:r w:rsidR="00B55135">
              <w:rPr>
                <w:szCs w:val="24"/>
              </w:rPr>
              <w:t>916-203-9755</w:t>
            </w:r>
          </w:p>
          <w:p w14:paraId="722D5178" w14:textId="77777777" w:rsidR="009044E4" w:rsidRDefault="009044E4" w:rsidP="00E866BD">
            <w:pPr>
              <w:ind w:left="270"/>
            </w:pPr>
          </w:p>
          <w:p w14:paraId="4F9B5A1C" w14:textId="77777777" w:rsidR="00FA71F9" w:rsidRDefault="00FA71F9" w:rsidP="00E866BD">
            <w:pPr>
              <w:ind w:left="270"/>
            </w:pPr>
            <w:r w:rsidRPr="00C0394B">
              <w:rPr>
                <w:b/>
                <w:sz w:val="20"/>
              </w:rPr>
              <w:t>Website</w:t>
            </w:r>
            <w:r w:rsidRPr="00762DFE">
              <w:rPr>
                <w:sz w:val="20"/>
              </w:rPr>
              <w:t>:</w:t>
            </w:r>
            <w:r>
              <w:rPr>
                <w:b/>
              </w:rPr>
              <w:t xml:space="preserve"> </w:t>
            </w:r>
            <w:r w:rsidR="00E86266">
              <w:rPr>
                <w:b/>
              </w:rPr>
              <w:t xml:space="preserve"> </w:t>
            </w:r>
            <w:r w:rsidRPr="00814BBF">
              <w:rPr>
                <w:szCs w:val="24"/>
              </w:rPr>
              <w:t>www.fire.ca.gov</w:t>
            </w:r>
          </w:p>
        </w:tc>
      </w:tr>
      <w:tr w:rsidR="00C0394B" w14:paraId="6C1B155D" w14:textId="77777777" w:rsidTr="00142305">
        <w:trPr>
          <w:trHeight w:val="761"/>
        </w:trPr>
        <w:tc>
          <w:tcPr>
            <w:tcW w:w="1170" w:type="dxa"/>
          </w:tcPr>
          <w:p w14:paraId="51863E58" w14:textId="00D88C1D" w:rsidR="00C0394B" w:rsidRPr="00142305" w:rsidRDefault="00104DED" w:rsidP="00104DED">
            <w:pPr>
              <w:ind w:left="90" w:right="8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C0394B" w:rsidRPr="00142305">
              <w:rPr>
                <w:b/>
                <w:szCs w:val="24"/>
              </w:rPr>
              <w:t>From:</w:t>
            </w:r>
          </w:p>
        </w:tc>
        <w:tc>
          <w:tcPr>
            <w:tcW w:w="8896" w:type="dxa"/>
            <w:gridSpan w:val="2"/>
          </w:tcPr>
          <w:p w14:paraId="35065D20" w14:textId="6DDD73C6" w:rsidR="00D87E84" w:rsidRPr="00104DED" w:rsidRDefault="00D23EAF" w:rsidP="00E866BD">
            <w:pPr>
              <w:ind w:left="27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JOHN RAMALEY</w:t>
            </w:r>
            <w:r w:rsidR="004666F2" w:rsidRPr="00104DED">
              <w:rPr>
                <w:b/>
                <w:bCs/>
                <w:szCs w:val="24"/>
              </w:rPr>
              <w:t xml:space="preserve">, </w:t>
            </w:r>
            <w:r>
              <w:rPr>
                <w:b/>
                <w:bCs/>
                <w:szCs w:val="24"/>
              </w:rPr>
              <w:t>Staff Chief, Forest Practice,</w:t>
            </w:r>
            <w:r w:rsidR="00846384" w:rsidRPr="00104DED">
              <w:rPr>
                <w:b/>
                <w:bCs/>
                <w:szCs w:val="24"/>
              </w:rPr>
              <w:t xml:space="preserve"> </w:t>
            </w:r>
          </w:p>
          <w:p w14:paraId="502F6792" w14:textId="77777777" w:rsidR="00C0394B" w:rsidRPr="00104DED" w:rsidRDefault="00C0394B" w:rsidP="00E866BD">
            <w:pPr>
              <w:ind w:left="270"/>
              <w:rPr>
                <w:b/>
                <w:bCs/>
                <w:szCs w:val="24"/>
              </w:rPr>
            </w:pPr>
            <w:r w:rsidRPr="00104DED">
              <w:rPr>
                <w:b/>
                <w:bCs/>
                <w:szCs w:val="24"/>
              </w:rPr>
              <w:t>California Department of Forestry and Fire Protection (CAL FIRE)</w:t>
            </w:r>
          </w:p>
          <w:p w14:paraId="4E31954D" w14:textId="7400B555" w:rsidR="00C8195D" w:rsidRPr="00846384" w:rsidRDefault="00C8195D" w:rsidP="00E866BD">
            <w:pPr>
              <w:ind w:left="270"/>
              <w:rPr>
                <w:bCs/>
                <w:szCs w:val="24"/>
              </w:rPr>
            </w:pPr>
          </w:p>
          <w:p w14:paraId="45A528CD" w14:textId="77777777" w:rsidR="00C0394B" w:rsidRDefault="00C0394B" w:rsidP="00E866BD">
            <w:pPr>
              <w:ind w:left="270"/>
            </w:pPr>
          </w:p>
        </w:tc>
      </w:tr>
      <w:tr w:rsidR="00FA71F9" w:rsidRPr="00C0394B" w14:paraId="069373CF" w14:textId="77777777" w:rsidTr="002546A7">
        <w:trPr>
          <w:trHeight w:val="387"/>
        </w:trPr>
        <w:tc>
          <w:tcPr>
            <w:tcW w:w="1170" w:type="dxa"/>
          </w:tcPr>
          <w:p w14:paraId="660F8945" w14:textId="77777777" w:rsidR="00FA71F9" w:rsidRPr="00142305" w:rsidRDefault="00FA71F9" w:rsidP="00E866BD">
            <w:pPr>
              <w:ind w:left="90" w:right="80"/>
              <w:jc w:val="right"/>
              <w:rPr>
                <w:b/>
                <w:szCs w:val="24"/>
              </w:rPr>
            </w:pPr>
            <w:r w:rsidRPr="00142305">
              <w:rPr>
                <w:b/>
                <w:szCs w:val="24"/>
              </w:rPr>
              <w:t>Subject:</w:t>
            </w:r>
          </w:p>
        </w:tc>
        <w:tc>
          <w:tcPr>
            <w:tcW w:w="8896" w:type="dxa"/>
            <w:gridSpan w:val="2"/>
          </w:tcPr>
          <w:p w14:paraId="358691C8" w14:textId="0E26BA58" w:rsidR="00846384" w:rsidRPr="00846384" w:rsidRDefault="00D23EAF" w:rsidP="00846384">
            <w:pPr>
              <w:ind w:left="270"/>
              <w:rPr>
                <w:b/>
                <w:szCs w:val="24"/>
              </w:rPr>
            </w:pPr>
            <w:bookmarkStart w:id="2" w:name="Subject"/>
            <w:bookmarkEnd w:id="2"/>
            <w:r>
              <w:rPr>
                <w:b/>
                <w:szCs w:val="24"/>
              </w:rPr>
              <w:t xml:space="preserve">Overlapping </w:t>
            </w:r>
            <w:r w:rsidR="00D75B16">
              <w:rPr>
                <w:b/>
                <w:szCs w:val="24"/>
              </w:rPr>
              <w:t>T</w:t>
            </w:r>
            <w:r>
              <w:rPr>
                <w:b/>
                <w:szCs w:val="24"/>
              </w:rPr>
              <w:t xml:space="preserve">imber </w:t>
            </w:r>
            <w:r w:rsidR="00D75B16">
              <w:rPr>
                <w:b/>
                <w:szCs w:val="24"/>
              </w:rPr>
              <w:t>H</w:t>
            </w:r>
            <w:r>
              <w:rPr>
                <w:b/>
                <w:szCs w:val="24"/>
              </w:rPr>
              <w:t xml:space="preserve">arvesting </w:t>
            </w:r>
            <w:r w:rsidR="00D75B16">
              <w:rPr>
                <w:b/>
                <w:szCs w:val="24"/>
              </w:rPr>
              <w:t>D</w:t>
            </w:r>
            <w:r>
              <w:rPr>
                <w:b/>
                <w:szCs w:val="24"/>
              </w:rPr>
              <w:t>ocuments</w:t>
            </w:r>
          </w:p>
        </w:tc>
      </w:tr>
    </w:tbl>
    <w:p w14:paraId="0EB41D27" w14:textId="77777777" w:rsidR="00FA71F9" w:rsidRDefault="00FA71F9">
      <w:pPr>
        <w:rPr>
          <w:bCs/>
        </w:rPr>
      </w:pPr>
    </w:p>
    <w:p w14:paraId="35360ED6" w14:textId="07FF4E4A" w:rsidR="005B0125" w:rsidRDefault="00D75B16" w:rsidP="005B0125">
      <w:pPr>
        <w:spacing w:line="240" w:lineRule="auto"/>
        <w:rPr>
          <w:szCs w:val="24"/>
        </w:rPr>
      </w:pPr>
      <w:r>
        <w:rPr>
          <w:szCs w:val="24"/>
        </w:rPr>
        <w:t xml:space="preserve">The Board of Forestry and Fire Protection’s </w:t>
      </w:r>
      <w:r w:rsidR="00B55135">
        <w:rPr>
          <w:szCs w:val="24"/>
        </w:rPr>
        <w:t xml:space="preserve">(Board) </w:t>
      </w:r>
      <w:r w:rsidR="005B0125">
        <w:rPr>
          <w:szCs w:val="24"/>
        </w:rPr>
        <w:t>Forest Practice Committee</w:t>
      </w:r>
      <w:r>
        <w:rPr>
          <w:szCs w:val="24"/>
        </w:rPr>
        <w:t xml:space="preserve"> has initiated discussion</w:t>
      </w:r>
      <w:r w:rsidR="005B0125">
        <w:rPr>
          <w:szCs w:val="24"/>
        </w:rPr>
        <w:t xml:space="preserve"> between CAL FIRE, the Board and the regulated public, </w:t>
      </w:r>
      <w:r>
        <w:rPr>
          <w:szCs w:val="24"/>
        </w:rPr>
        <w:t xml:space="preserve">on </w:t>
      </w:r>
      <w:r w:rsidR="005B0125">
        <w:rPr>
          <w:szCs w:val="24"/>
        </w:rPr>
        <w:t xml:space="preserve">the topic of overlapping harvest documents covering the same ground. Recently, CAL FIRE had determined that harvesting exemptions could not be submitted over approved </w:t>
      </w:r>
      <w:r w:rsidR="00B55135">
        <w:rPr>
          <w:szCs w:val="24"/>
        </w:rPr>
        <w:t>Timber Harvesting Plans (</w:t>
      </w:r>
      <w:r w:rsidR="005B0125">
        <w:rPr>
          <w:szCs w:val="24"/>
        </w:rPr>
        <w:t>THPs</w:t>
      </w:r>
      <w:r w:rsidR="00B55135">
        <w:rPr>
          <w:szCs w:val="24"/>
        </w:rPr>
        <w:t>)</w:t>
      </w:r>
      <w:r w:rsidR="005B0125">
        <w:rPr>
          <w:szCs w:val="24"/>
        </w:rPr>
        <w:t xml:space="preserve">, and this, in part, has </w:t>
      </w:r>
      <w:r>
        <w:rPr>
          <w:szCs w:val="24"/>
        </w:rPr>
        <w:t>led</w:t>
      </w:r>
      <w:r w:rsidR="005B0125">
        <w:rPr>
          <w:szCs w:val="24"/>
        </w:rPr>
        <w:t xml:space="preserve"> to the recent discussion in committee.</w:t>
      </w:r>
    </w:p>
    <w:p w14:paraId="432110B6" w14:textId="77777777" w:rsidR="005B0125" w:rsidRDefault="005B0125" w:rsidP="005B0125">
      <w:pPr>
        <w:spacing w:line="240" w:lineRule="auto"/>
        <w:rPr>
          <w:szCs w:val="24"/>
        </w:rPr>
      </w:pPr>
    </w:p>
    <w:p w14:paraId="2FCC0C39" w14:textId="1542FEC7" w:rsidR="00390ABA" w:rsidRDefault="005B0125" w:rsidP="005B0125">
      <w:pPr>
        <w:spacing w:line="240" w:lineRule="auto"/>
        <w:rPr>
          <w:szCs w:val="24"/>
        </w:rPr>
      </w:pPr>
      <w:r>
        <w:rPr>
          <w:szCs w:val="24"/>
        </w:rPr>
        <w:t xml:space="preserve">The Department’s ability to enforce the Forest Practice Act and Rules is predicated on the ability of the Department to accurately </w:t>
      </w:r>
      <w:r w:rsidR="00D75B16">
        <w:rPr>
          <w:szCs w:val="24"/>
        </w:rPr>
        <w:t>recognize</w:t>
      </w:r>
      <w:r>
        <w:rPr>
          <w:szCs w:val="24"/>
        </w:rPr>
        <w:t xml:space="preserve"> the responsible parties when Forest Practice violations have been noted. </w:t>
      </w:r>
      <w:r w:rsidR="00390ABA">
        <w:rPr>
          <w:szCs w:val="24"/>
        </w:rPr>
        <w:t xml:space="preserve">Also, the Department must determine that all elements of a violation have been met prior to issuing a violation notice. This is determined by examining the potential violation </w:t>
      </w:r>
      <w:proofErr w:type="gramStart"/>
      <w:r w:rsidR="00390ABA">
        <w:rPr>
          <w:szCs w:val="24"/>
        </w:rPr>
        <w:t>in light of</w:t>
      </w:r>
      <w:proofErr w:type="gramEnd"/>
      <w:r w:rsidR="00390ABA">
        <w:rPr>
          <w:szCs w:val="24"/>
        </w:rPr>
        <w:t xml:space="preserve"> the prescriptive standard </w:t>
      </w:r>
      <w:r w:rsidR="003B55AB">
        <w:rPr>
          <w:szCs w:val="24"/>
        </w:rPr>
        <w:t>required</w:t>
      </w:r>
      <w:r w:rsidR="00390ABA">
        <w:rPr>
          <w:szCs w:val="24"/>
        </w:rPr>
        <w:t xml:space="preserve"> for the harvest document in question. When prescriptive standards conflict with each other, such as the limitation of harvesting 10% or less of the standing volume of any given acre on a 14 CCR 1038(b) </w:t>
      </w:r>
      <w:r w:rsidR="00B55135">
        <w:rPr>
          <w:szCs w:val="24"/>
        </w:rPr>
        <w:t>Dead, Dying, and Diseased E</w:t>
      </w:r>
      <w:r w:rsidR="00390ABA">
        <w:rPr>
          <w:szCs w:val="24"/>
        </w:rPr>
        <w:t>xemption versus what the underlying THP allows, this puts the Department in a difficult situation to sort through the different operators and standards</w:t>
      </w:r>
      <w:r w:rsidR="00233FCC">
        <w:rPr>
          <w:szCs w:val="24"/>
        </w:rPr>
        <w:t>,</w:t>
      </w:r>
      <w:r w:rsidR="0013172E">
        <w:rPr>
          <w:szCs w:val="24"/>
        </w:rPr>
        <w:t xml:space="preserve"> </w:t>
      </w:r>
      <w:r w:rsidR="00390ABA">
        <w:rPr>
          <w:szCs w:val="24"/>
        </w:rPr>
        <w:t xml:space="preserve">and apply the appropriate law. </w:t>
      </w:r>
    </w:p>
    <w:p w14:paraId="5EA8EF66" w14:textId="77777777" w:rsidR="00390ABA" w:rsidRDefault="00390ABA" w:rsidP="005B0125">
      <w:pPr>
        <w:spacing w:line="240" w:lineRule="auto"/>
        <w:rPr>
          <w:szCs w:val="24"/>
        </w:rPr>
      </w:pPr>
    </w:p>
    <w:p w14:paraId="566BBC8A" w14:textId="0A68FE57" w:rsidR="00D75B16" w:rsidRDefault="00D75B16" w:rsidP="005B0125">
      <w:pPr>
        <w:spacing w:line="240" w:lineRule="auto"/>
        <w:rPr>
          <w:szCs w:val="24"/>
        </w:rPr>
      </w:pPr>
      <w:r>
        <w:rPr>
          <w:szCs w:val="24"/>
        </w:rPr>
        <w:t xml:space="preserve">Overlapping harvest documents typically have different </w:t>
      </w:r>
      <w:r w:rsidR="00B55135">
        <w:rPr>
          <w:szCs w:val="24"/>
        </w:rPr>
        <w:t xml:space="preserve">Licensed Timber Operators (LTOs) </w:t>
      </w:r>
      <w:r>
        <w:rPr>
          <w:szCs w:val="24"/>
        </w:rPr>
        <w:t xml:space="preserve">assigned to each document, and in many cases for large property-wide exemptions, there may be </w:t>
      </w:r>
      <w:r w:rsidR="00233FCC">
        <w:rPr>
          <w:szCs w:val="24"/>
        </w:rPr>
        <w:t xml:space="preserve">five </w:t>
      </w:r>
      <w:r>
        <w:rPr>
          <w:szCs w:val="24"/>
        </w:rPr>
        <w:t xml:space="preserve">or more </w:t>
      </w:r>
      <w:r w:rsidR="00B55135">
        <w:rPr>
          <w:szCs w:val="24"/>
        </w:rPr>
        <w:t xml:space="preserve">LTOs </w:t>
      </w:r>
      <w:r>
        <w:rPr>
          <w:szCs w:val="24"/>
        </w:rPr>
        <w:t>listed on the exemption. This, couple</w:t>
      </w:r>
      <w:r w:rsidR="00390ABA">
        <w:rPr>
          <w:szCs w:val="24"/>
        </w:rPr>
        <w:t>d</w:t>
      </w:r>
      <w:r>
        <w:rPr>
          <w:szCs w:val="24"/>
        </w:rPr>
        <w:t xml:space="preserve"> with t</w:t>
      </w:r>
      <w:r w:rsidR="005B0125">
        <w:rPr>
          <w:szCs w:val="24"/>
        </w:rPr>
        <w:t xml:space="preserve">he conflicting </w:t>
      </w:r>
      <w:r w:rsidR="00A13272">
        <w:rPr>
          <w:szCs w:val="24"/>
        </w:rPr>
        <w:t xml:space="preserve">harvesting </w:t>
      </w:r>
      <w:r w:rsidR="005B0125">
        <w:rPr>
          <w:szCs w:val="24"/>
        </w:rPr>
        <w:t xml:space="preserve">parameters that cover each type of harvest document </w:t>
      </w:r>
      <w:r w:rsidR="003B55AB">
        <w:rPr>
          <w:szCs w:val="24"/>
        </w:rPr>
        <w:t xml:space="preserve">increases the difficulty of enforcement. </w:t>
      </w:r>
    </w:p>
    <w:p w14:paraId="1AAFB368" w14:textId="77777777" w:rsidR="00D75B16" w:rsidRDefault="00D75B16" w:rsidP="005B0125">
      <w:pPr>
        <w:spacing w:line="240" w:lineRule="auto"/>
        <w:rPr>
          <w:szCs w:val="24"/>
        </w:rPr>
      </w:pPr>
    </w:p>
    <w:p w14:paraId="3B1C0030" w14:textId="170F3FAD" w:rsidR="005B0125" w:rsidRDefault="003B55AB" w:rsidP="005B0125">
      <w:pPr>
        <w:spacing w:line="240" w:lineRule="auto"/>
        <w:rPr>
          <w:szCs w:val="24"/>
        </w:rPr>
      </w:pPr>
      <w:r>
        <w:rPr>
          <w:szCs w:val="24"/>
        </w:rPr>
        <w:t>Also, o</w:t>
      </w:r>
      <w:r w:rsidR="00D75B16">
        <w:rPr>
          <w:szCs w:val="24"/>
        </w:rPr>
        <w:t xml:space="preserve">nce harvest documents start to become layered, the analysis of impacts </w:t>
      </w:r>
      <w:r w:rsidR="00233FCC">
        <w:rPr>
          <w:szCs w:val="24"/>
        </w:rPr>
        <w:t xml:space="preserve">the </w:t>
      </w:r>
      <w:r w:rsidR="002A23BE">
        <w:rPr>
          <w:szCs w:val="24"/>
        </w:rPr>
        <w:t xml:space="preserve">Board </w:t>
      </w:r>
      <w:r w:rsidR="00D75B16">
        <w:rPr>
          <w:szCs w:val="24"/>
        </w:rPr>
        <w:t xml:space="preserve">performs </w:t>
      </w:r>
      <w:r w:rsidR="00390ABA">
        <w:rPr>
          <w:szCs w:val="24"/>
        </w:rPr>
        <w:t xml:space="preserve">during its regulatory process </w:t>
      </w:r>
      <w:r w:rsidR="00D75B16">
        <w:rPr>
          <w:szCs w:val="24"/>
        </w:rPr>
        <w:t xml:space="preserve">becomes </w:t>
      </w:r>
      <w:r>
        <w:rPr>
          <w:szCs w:val="24"/>
        </w:rPr>
        <w:t>less meaningful,</w:t>
      </w:r>
      <w:r w:rsidR="00D75B16">
        <w:rPr>
          <w:szCs w:val="24"/>
        </w:rPr>
        <w:t xml:space="preserve"> as </w:t>
      </w:r>
      <w:r w:rsidR="00390ABA">
        <w:rPr>
          <w:szCs w:val="24"/>
        </w:rPr>
        <w:t xml:space="preserve">the Board does not analyze </w:t>
      </w:r>
      <w:r w:rsidR="00D75B16">
        <w:rPr>
          <w:szCs w:val="24"/>
        </w:rPr>
        <w:t>the layering of harvest documents to accomplish a project</w:t>
      </w:r>
      <w:r w:rsidR="00390ABA">
        <w:rPr>
          <w:szCs w:val="24"/>
        </w:rPr>
        <w:t xml:space="preserve">, </w:t>
      </w:r>
      <w:r>
        <w:rPr>
          <w:szCs w:val="24"/>
        </w:rPr>
        <w:t>but</w:t>
      </w:r>
      <w:r w:rsidR="00390ABA">
        <w:rPr>
          <w:szCs w:val="24"/>
        </w:rPr>
        <w:t xml:space="preserve"> instead analyzes each exemption as an individual action</w:t>
      </w:r>
      <w:r>
        <w:rPr>
          <w:szCs w:val="24"/>
        </w:rPr>
        <w:t xml:space="preserve"> being applied</w:t>
      </w:r>
      <w:r w:rsidR="00D75B16">
        <w:rPr>
          <w:szCs w:val="24"/>
        </w:rPr>
        <w:t xml:space="preserve">. </w:t>
      </w:r>
    </w:p>
    <w:p w14:paraId="5EF60D51" w14:textId="77777777" w:rsidR="005B0125" w:rsidRPr="005B0125" w:rsidRDefault="005B0125" w:rsidP="005B0125">
      <w:pPr>
        <w:spacing w:line="240" w:lineRule="auto"/>
        <w:rPr>
          <w:szCs w:val="24"/>
        </w:rPr>
      </w:pPr>
    </w:p>
    <w:p w14:paraId="03EBA465" w14:textId="77777777" w:rsidR="00B55135" w:rsidRDefault="00B55135" w:rsidP="005B0125">
      <w:pPr>
        <w:spacing w:line="240" w:lineRule="auto"/>
        <w:jc w:val="center"/>
        <w:rPr>
          <w:szCs w:val="24"/>
          <w:u w:val="single"/>
        </w:rPr>
      </w:pPr>
    </w:p>
    <w:p w14:paraId="6259F943" w14:textId="77777777" w:rsidR="00B55135" w:rsidRDefault="00B55135" w:rsidP="005B0125">
      <w:pPr>
        <w:spacing w:line="240" w:lineRule="auto"/>
        <w:jc w:val="center"/>
        <w:rPr>
          <w:szCs w:val="24"/>
          <w:u w:val="single"/>
        </w:rPr>
      </w:pPr>
    </w:p>
    <w:p w14:paraId="301D98E1" w14:textId="77777777" w:rsidR="00B55135" w:rsidRDefault="00B55135" w:rsidP="005B0125">
      <w:pPr>
        <w:spacing w:line="240" w:lineRule="auto"/>
        <w:jc w:val="center"/>
        <w:rPr>
          <w:szCs w:val="24"/>
          <w:u w:val="single"/>
        </w:rPr>
      </w:pPr>
    </w:p>
    <w:p w14:paraId="187D779F" w14:textId="1C52D0B6" w:rsidR="005B0125" w:rsidRPr="005B0125" w:rsidRDefault="005B0125" w:rsidP="005B0125">
      <w:pPr>
        <w:spacing w:line="240" w:lineRule="auto"/>
        <w:jc w:val="center"/>
        <w:rPr>
          <w:szCs w:val="24"/>
          <w:u w:val="single"/>
        </w:rPr>
      </w:pPr>
      <w:r w:rsidRPr="005B0125">
        <w:rPr>
          <w:szCs w:val="24"/>
          <w:u w:val="single"/>
        </w:rPr>
        <w:lastRenderedPageBreak/>
        <w:t>Examples of overlapping exemptions and other issues in 2024 to Date:</w:t>
      </w:r>
    </w:p>
    <w:p w14:paraId="2062BD25" w14:textId="77777777" w:rsidR="005B0125" w:rsidRPr="005B0125" w:rsidRDefault="005B0125" w:rsidP="005B0125">
      <w:pPr>
        <w:spacing w:line="240" w:lineRule="auto"/>
        <w:rPr>
          <w:szCs w:val="24"/>
        </w:rPr>
      </w:pPr>
    </w:p>
    <w:p w14:paraId="06FEF8A1" w14:textId="77777777" w:rsidR="005B0125" w:rsidRPr="005B0125" w:rsidRDefault="005B0125" w:rsidP="005B0125">
      <w:pPr>
        <w:pStyle w:val="ListParagraph"/>
        <w:numPr>
          <w:ilvl w:val="0"/>
          <w:numId w:val="4"/>
        </w:numPr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 w:rsidRPr="005B0125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Exemptions overlapping the same type of exemptions - property-wide or tract -wide exemptions being submitted for the new year when the submitter still has between 2 to 4 months left on the previous year’s exemption.</w:t>
      </w:r>
    </w:p>
    <w:p w14:paraId="7E94F733" w14:textId="77777777" w:rsidR="005B0125" w:rsidRPr="005B0125" w:rsidRDefault="005B0125" w:rsidP="005B0125">
      <w:pPr>
        <w:pStyle w:val="ListParagraph"/>
        <w:numPr>
          <w:ilvl w:val="0"/>
          <w:numId w:val="4"/>
        </w:numPr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 w:rsidRPr="005B0125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Exemptions overlapping the same type of exemptions – overlapping similar type exemptions with different LTO’s assigned to the same areas.</w:t>
      </w:r>
    </w:p>
    <w:p w14:paraId="33DC6101" w14:textId="3B215D5F" w:rsidR="005B0125" w:rsidRPr="005B0125" w:rsidRDefault="005B0125" w:rsidP="005B0125">
      <w:pPr>
        <w:pStyle w:val="ListParagraph"/>
        <w:numPr>
          <w:ilvl w:val="0"/>
          <w:numId w:val="4"/>
        </w:numPr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 w:rsidRPr="005B0125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Exemptions overlapping non-similar exemptions – exemptions stacked over each, such as </w:t>
      </w:r>
      <w:r w:rsidR="00233FCC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Forest Fire Prevention Exemption (</w:t>
      </w:r>
      <w:r w:rsidRPr="005B0125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FFPE</w:t>
      </w:r>
      <w:r w:rsidR="00233FCC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)</w:t>
      </w:r>
      <w:r w:rsidRPr="005B0125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 and 1038(b)</w:t>
      </w:r>
      <w:r w:rsidR="00233FCC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 Dead, Dying, and Diseased Exemption</w:t>
      </w:r>
      <w:r w:rsidRPr="005B0125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. These are done to remove trees larger than allowed amount under an FFPE.</w:t>
      </w:r>
    </w:p>
    <w:p w14:paraId="28823869" w14:textId="52455BAB" w:rsidR="005B0125" w:rsidRPr="005B0125" w:rsidRDefault="005B0125" w:rsidP="005B0125">
      <w:pPr>
        <w:pStyle w:val="ListParagraph"/>
        <w:numPr>
          <w:ilvl w:val="0"/>
          <w:numId w:val="4"/>
        </w:numPr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 w:rsidRPr="005B0125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Exemptions that include lands where the submitters own the timber and not the timberland, however the timberland owner has not signed the exemption.</w:t>
      </w:r>
    </w:p>
    <w:p w14:paraId="26BACDD7" w14:textId="77777777" w:rsidR="005B0125" w:rsidRPr="005B0125" w:rsidRDefault="005B0125" w:rsidP="005B0125">
      <w:pPr>
        <w:pStyle w:val="ListParagraph"/>
        <w:numPr>
          <w:ilvl w:val="0"/>
          <w:numId w:val="4"/>
        </w:numPr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 w:rsidRPr="005B0125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Exemptions overlapping THP’s that:</w:t>
      </w:r>
    </w:p>
    <w:p w14:paraId="677785B3" w14:textId="77777777" w:rsidR="005B0125" w:rsidRPr="005B0125" w:rsidRDefault="005B0125" w:rsidP="005B0125">
      <w:pPr>
        <w:pStyle w:val="ListParagraph"/>
        <w:numPr>
          <w:ilvl w:val="1"/>
          <w:numId w:val="4"/>
        </w:numPr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 w:rsidRPr="005B0125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Are not active.</w:t>
      </w:r>
    </w:p>
    <w:p w14:paraId="6F5100A3" w14:textId="77777777" w:rsidR="005B0125" w:rsidRPr="005B0125" w:rsidRDefault="005B0125" w:rsidP="005B0125">
      <w:pPr>
        <w:pStyle w:val="ListParagraph"/>
        <w:numPr>
          <w:ilvl w:val="1"/>
          <w:numId w:val="4"/>
        </w:numPr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 w:rsidRPr="005B0125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Include clearcut units with nothing to salvage or any reason to operate on them.</w:t>
      </w:r>
    </w:p>
    <w:p w14:paraId="11925A8A" w14:textId="51566104" w:rsidR="005B0125" w:rsidRDefault="005B0125" w:rsidP="005B0125">
      <w:pPr>
        <w:pStyle w:val="ListParagraph"/>
        <w:numPr>
          <w:ilvl w:val="1"/>
          <w:numId w:val="4"/>
        </w:numPr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 w:rsidRPr="005B0125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Exemptions that are used for excessive mortality, such as 1038(d)</w:t>
      </w:r>
      <w:r w:rsidR="00233FCC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 Drought Mortality</w:t>
      </w:r>
      <w:r w:rsidR="00B55135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 Exemption</w:t>
      </w:r>
      <w:r w:rsidRPr="005B0125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, being submitted on THPs </w:t>
      </w:r>
      <w:r w:rsidR="00B55135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in which</w:t>
      </w:r>
      <w:r w:rsidR="00B55135" w:rsidRPr="005B0125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 </w:t>
      </w:r>
      <w:r w:rsidRPr="005B0125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silviculture </w:t>
      </w:r>
      <w:r w:rsidR="00B55135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requires</w:t>
      </w:r>
      <w:r w:rsidRPr="005B0125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 high levels of post-harvest stocking. The submitted exemptions lead to questions on the ability of the approved THP to meet its’ requirements.</w:t>
      </w:r>
    </w:p>
    <w:p w14:paraId="06491FA1" w14:textId="21AD692A" w:rsidR="003B55AB" w:rsidRPr="005B0125" w:rsidRDefault="003B55AB" w:rsidP="005B0125">
      <w:pPr>
        <w:pStyle w:val="ListParagraph"/>
        <w:numPr>
          <w:ilvl w:val="1"/>
          <w:numId w:val="4"/>
        </w:numPr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Property-wide data layers are being utilized that do not always accurately represent the required features, such as watercourse classification. </w:t>
      </w:r>
    </w:p>
    <w:p w14:paraId="7DBC8F64" w14:textId="600996F0" w:rsidR="003640B7" w:rsidRPr="002E5E97" w:rsidRDefault="00B55135" w:rsidP="00B55135">
      <w:pPr>
        <w:spacing w:line="40" w:lineRule="atLeast"/>
        <w:rPr>
          <w:szCs w:val="24"/>
        </w:rPr>
      </w:pPr>
      <w:r>
        <w:rPr>
          <w:szCs w:val="24"/>
        </w:rPr>
        <w:t xml:space="preserve">The Department appreciates the opportunity to discuss </w:t>
      </w:r>
      <w:proofErr w:type="gramStart"/>
      <w:r>
        <w:rPr>
          <w:szCs w:val="24"/>
        </w:rPr>
        <w:t>these</w:t>
      </w:r>
      <w:proofErr w:type="gramEnd"/>
      <w:r>
        <w:rPr>
          <w:szCs w:val="24"/>
        </w:rPr>
        <w:t xml:space="preserve"> and other examples of the challenges posed by overlapping harvest documents. </w:t>
      </w:r>
      <w:r w:rsidR="00203C59">
        <w:rPr>
          <w:szCs w:val="24"/>
        </w:rPr>
        <w:t xml:space="preserve">Questions or comments regarding the content of this memorandum may be directed to </w:t>
      </w:r>
      <w:r w:rsidR="005B0125">
        <w:rPr>
          <w:szCs w:val="24"/>
        </w:rPr>
        <w:t>Staff</w:t>
      </w:r>
      <w:r w:rsidR="00E13BC1">
        <w:rPr>
          <w:szCs w:val="24"/>
        </w:rPr>
        <w:t xml:space="preserve"> Chief, </w:t>
      </w:r>
      <w:r w:rsidR="005B0125">
        <w:rPr>
          <w:szCs w:val="24"/>
        </w:rPr>
        <w:t>John Ramaley</w:t>
      </w:r>
      <w:r w:rsidR="00203C59">
        <w:rPr>
          <w:szCs w:val="24"/>
        </w:rPr>
        <w:t xml:space="preserve"> at </w:t>
      </w:r>
      <w:r w:rsidR="005B0125">
        <w:rPr>
          <w:szCs w:val="24"/>
        </w:rPr>
        <w:t>916-203-9755</w:t>
      </w:r>
      <w:r w:rsidR="00203C59">
        <w:rPr>
          <w:szCs w:val="24"/>
        </w:rPr>
        <w:t xml:space="preserve"> or by email </w:t>
      </w:r>
      <w:r w:rsidR="00846384">
        <w:rPr>
          <w:szCs w:val="24"/>
        </w:rPr>
        <w:t>at</w:t>
      </w:r>
      <w:r w:rsidR="00203C59">
        <w:rPr>
          <w:szCs w:val="24"/>
        </w:rPr>
        <w:t xml:space="preserve"> </w:t>
      </w:r>
      <w:hyperlink r:id="rId8" w:history="1">
        <w:r w:rsidR="005B0125" w:rsidRPr="00021069">
          <w:rPr>
            <w:rStyle w:val="Hyperlink"/>
            <w:szCs w:val="24"/>
          </w:rPr>
          <w:t>john.ramaley@fire.ca.gov</w:t>
        </w:r>
      </w:hyperlink>
    </w:p>
    <w:sectPr w:rsidR="003640B7" w:rsidRPr="002E5E97" w:rsidSect="00DD3C30">
      <w:footerReference w:type="default" r:id="rId9"/>
      <w:type w:val="continuous"/>
      <w:pgSz w:w="12240" w:h="15840" w:code="1"/>
      <w:pgMar w:top="720" w:right="1170" w:bottom="900" w:left="1440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ED65" w14:textId="77777777" w:rsidR="00AD30D3" w:rsidRDefault="00AD30D3">
      <w:r>
        <w:separator/>
      </w:r>
    </w:p>
  </w:endnote>
  <w:endnote w:type="continuationSeparator" w:id="0">
    <w:p w14:paraId="53604717" w14:textId="77777777" w:rsidR="00AD30D3" w:rsidRDefault="00AD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34937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C3A0E51" w14:textId="08154913" w:rsidR="00AE4734" w:rsidRDefault="00AE4734" w:rsidP="00AE4734">
            <w:pPr>
              <w:pStyle w:val="Footer"/>
              <w:jc w:val="center"/>
            </w:pPr>
            <w:r w:rsidRPr="00AE4734">
              <w:rPr>
                <w:sz w:val="18"/>
                <w:szCs w:val="18"/>
              </w:rPr>
              <w:t xml:space="preserve">Page </w:t>
            </w:r>
            <w:r w:rsidRPr="00AE4734">
              <w:rPr>
                <w:b/>
                <w:bCs/>
                <w:sz w:val="18"/>
                <w:szCs w:val="18"/>
              </w:rPr>
              <w:fldChar w:fldCharType="begin"/>
            </w:r>
            <w:r w:rsidRPr="00AE4734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AE4734">
              <w:rPr>
                <w:b/>
                <w:bCs/>
                <w:sz w:val="18"/>
                <w:szCs w:val="18"/>
              </w:rPr>
              <w:fldChar w:fldCharType="separate"/>
            </w:r>
            <w:r w:rsidRPr="00AE4734">
              <w:rPr>
                <w:b/>
                <w:bCs/>
                <w:noProof/>
                <w:sz w:val="18"/>
                <w:szCs w:val="18"/>
              </w:rPr>
              <w:t>2</w:t>
            </w:r>
            <w:r w:rsidRPr="00AE4734">
              <w:rPr>
                <w:b/>
                <w:bCs/>
                <w:sz w:val="18"/>
                <w:szCs w:val="18"/>
              </w:rPr>
              <w:fldChar w:fldCharType="end"/>
            </w:r>
            <w:r w:rsidRPr="00AE4734">
              <w:rPr>
                <w:sz w:val="18"/>
                <w:szCs w:val="18"/>
              </w:rPr>
              <w:t xml:space="preserve"> of </w:t>
            </w:r>
            <w:r w:rsidRPr="00AE4734">
              <w:rPr>
                <w:b/>
                <w:bCs/>
                <w:sz w:val="18"/>
                <w:szCs w:val="18"/>
              </w:rPr>
              <w:fldChar w:fldCharType="begin"/>
            </w:r>
            <w:r w:rsidRPr="00AE4734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AE4734">
              <w:rPr>
                <w:b/>
                <w:bCs/>
                <w:sz w:val="18"/>
                <w:szCs w:val="18"/>
              </w:rPr>
              <w:fldChar w:fldCharType="separate"/>
            </w:r>
            <w:r w:rsidRPr="00AE4734">
              <w:rPr>
                <w:b/>
                <w:bCs/>
                <w:noProof/>
                <w:sz w:val="18"/>
                <w:szCs w:val="18"/>
              </w:rPr>
              <w:t>2</w:t>
            </w:r>
            <w:r w:rsidRPr="00AE473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082FB7A" w14:textId="77777777" w:rsidR="00E268F9" w:rsidRPr="009044E4" w:rsidRDefault="00E268F9" w:rsidP="00E2534A">
    <w:pPr>
      <w:pStyle w:val="Footer"/>
      <w:tabs>
        <w:tab w:val="clear" w:pos="8640"/>
      </w:tabs>
      <w:rPr>
        <w:rFonts w:ascii="Times New Roman" w:hAnsi="Times New Roman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F118" w14:textId="77777777" w:rsidR="00AD30D3" w:rsidRDefault="00AD30D3">
      <w:r>
        <w:separator/>
      </w:r>
    </w:p>
  </w:footnote>
  <w:footnote w:type="continuationSeparator" w:id="0">
    <w:p w14:paraId="6032A68E" w14:textId="77777777" w:rsidR="00AD30D3" w:rsidRDefault="00AD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F26"/>
    <w:multiLevelType w:val="hybridMultilevel"/>
    <w:tmpl w:val="D3C4C5B0"/>
    <w:lvl w:ilvl="0" w:tplc="5512F8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8119C"/>
    <w:multiLevelType w:val="hybridMultilevel"/>
    <w:tmpl w:val="F6FE16D6"/>
    <w:lvl w:ilvl="0" w:tplc="5AD04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0D49"/>
    <w:multiLevelType w:val="hybridMultilevel"/>
    <w:tmpl w:val="CC6000B4"/>
    <w:lvl w:ilvl="0" w:tplc="603A19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86029"/>
    <w:multiLevelType w:val="hybridMultilevel"/>
    <w:tmpl w:val="A7AE6DE2"/>
    <w:lvl w:ilvl="0" w:tplc="D19616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301080">
    <w:abstractNumId w:val="1"/>
  </w:num>
  <w:num w:numId="2" w16cid:durableId="1730153936">
    <w:abstractNumId w:val="3"/>
  </w:num>
  <w:num w:numId="3" w16cid:durableId="570120715">
    <w:abstractNumId w:val="2"/>
  </w:num>
  <w:num w:numId="4" w16cid:durableId="77197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1" w:cryptProviderType="rsaAES" w:cryptAlgorithmClass="hash" w:cryptAlgorithmType="typeAny" w:cryptAlgorithmSid="14" w:cryptSpinCount="100000" w:hash="OCUVBaWDYvuRQt5llpSQ5sHInRc/8vm6WyMAvpfodlzmRgsMS7z7t36tSHpXjKH8J9gNbgXVU6GjyS1yGPvJ2Q==" w:salt="T5bU7RvTNYmoBPNmzVlXQ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69"/>
    <w:rsid w:val="00006E9F"/>
    <w:rsid w:val="00007C79"/>
    <w:rsid w:val="00027AFB"/>
    <w:rsid w:val="000306B1"/>
    <w:rsid w:val="00047B05"/>
    <w:rsid w:val="00050FAA"/>
    <w:rsid w:val="00070FE0"/>
    <w:rsid w:val="00077C52"/>
    <w:rsid w:val="00091B69"/>
    <w:rsid w:val="0009470F"/>
    <w:rsid w:val="000D143C"/>
    <w:rsid w:val="000D483F"/>
    <w:rsid w:val="00104DED"/>
    <w:rsid w:val="0012153A"/>
    <w:rsid w:val="0013172E"/>
    <w:rsid w:val="00142305"/>
    <w:rsid w:val="00165B16"/>
    <w:rsid w:val="001A5EA5"/>
    <w:rsid w:val="001B20EF"/>
    <w:rsid w:val="001B6A67"/>
    <w:rsid w:val="001C1EEC"/>
    <w:rsid w:val="001D3111"/>
    <w:rsid w:val="001D43F7"/>
    <w:rsid w:val="001D5F53"/>
    <w:rsid w:val="001D692B"/>
    <w:rsid w:val="001D74B9"/>
    <w:rsid w:val="001F7FB6"/>
    <w:rsid w:val="00203C59"/>
    <w:rsid w:val="00233FCC"/>
    <w:rsid w:val="00250A17"/>
    <w:rsid w:val="002546A7"/>
    <w:rsid w:val="00264843"/>
    <w:rsid w:val="002813A0"/>
    <w:rsid w:val="00293E83"/>
    <w:rsid w:val="002A23BE"/>
    <w:rsid w:val="002C7734"/>
    <w:rsid w:val="002D13F3"/>
    <w:rsid w:val="002D53FB"/>
    <w:rsid w:val="002E5E97"/>
    <w:rsid w:val="002F4047"/>
    <w:rsid w:val="00307969"/>
    <w:rsid w:val="00335751"/>
    <w:rsid w:val="003640B7"/>
    <w:rsid w:val="00366D15"/>
    <w:rsid w:val="00390ABA"/>
    <w:rsid w:val="003A76EB"/>
    <w:rsid w:val="003B55AB"/>
    <w:rsid w:val="003F7E09"/>
    <w:rsid w:val="003F7FB7"/>
    <w:rsid w:val="00420EF4"/>
    <w:rsid w:val="00453F41"/>
    <w:rsid w:val="00457719"/>
    <w:rsid w:val="004666F2"/>
    <w:rsid w:val="004675BC"/>
    <w:rsid w:val="004914C7"/>
    <w:rsid w:val="004A01CE"/>
    <w:rsid w:val="004A1217"/>
    <w:rsid w:val="00511E91"/>
    <w:rsid w:val="00512EDC"/>
    <w:rsid w:val="005210B9"/>
    <w:rsid w:val="00521826"/>
    <w:rsid w:val="005301D9"/>
    <w:rsid w:val="005762DD"/>
    <w:rsid w:val="005925E9"/>
    <w:rsid w:val="005A513D"/>
    <w:rsid w:val="005B0125"/>
    <w:rsid w:val="005E09A5"/>
    <w:rsid w:val="006018CD"/>
    <w:rsid w:val="00625DB3"/>
    <w:rsid w:val="00631F75"/>
    <w:rsid w:val="00642DB2"/>
    <w:rsid w:val="00654D13"/>
    <w:rsid w:val="00667FDD"/>
    <w:rsid w:val="00680DDB"/>
    <w:rsid w:val="006A1C31"/>
    <w:rsid w:val="006C0E1C"/>
    <w:rsid w:val="006E35AB"/>
    <w:rsid w:val="007600FB"/>
    <w:rsid w:val="00762DFE"/>
    <w:rsid w:val="00766FEC"/>
    <w:rsid w:val="00791060"/>
    <w:rsid w:val="007B1481"/>
    <w:rsid w:val="007C7771"/>
    <w:rsid w:val="007F0807"/>
    <w:rsid w:val="007F2599"/>
    <w:rsid w:val="007F51BF"/>
    <w:rsid w:val="00814BBF"/>
    <w:rsid w:val="0082145C"/>
    <w:rsid w:val="008433FB"/>
    <w:rsid w:val="00846384"/>
    <w:rsid w:val="00861FF4"/>
    <w:rsid w:val="008712A5"/>
    <w:rsid w:val="00893632"/>
    <w:rsid w:val="008C0C2B"/>
    <w:rsid w:val="008D5B81"/>
    <w:rsid w:val="008D741B"/>
    <w:rsid w:val="009044E4"/>
    <w:rsid w:val="00907247"/>
    <w:rsid w:val="009748C3"/>
    <w:rsid w:val="009756FD"/>
    <w:rsid w:val="0098131A"/>
    <w:rsid w:val="00997AFC"/>
    <w:rsid w:val="009C65FC"/>
    <w:rsid w:val="009D1317"/>
    <w:rsid w:val="009E213C"/>
    <w:rsid w:val="00A13272"/>
    <w:rsid w:val="00A20BB3"/>
    <w:rsid w:val="00A22D37"/>
    <w:rsid w:val="00A25394"/>
    <w:rsid w:val="00A3729D"/>
    <w:rsid w:val="00A43DD0"/>
    <w:rsid w:val="00A5683D"/>
    <w:rsid w:val="00A927FB"/>
    <w:rsid w:val="00AA0679"/>
    <w:rsid w:val="00AB5C14"/>
    <w:rsid w:val="00AC5B79"/>
    <w:rsid w:val="00AD30D3"/>
    <w:rsid w:val="00AE4734"/>
    <w:rsid w:val="00AE47D7"/>
    <w:rsid w:val="00AF41A4"/>
    <w:rsid w:val="00AF563E"/>
    <w:rsid w:val="00B279C6"/>
    <w:rsid w:val="00B340C2"/>
    <w:rsid w:val="00B37E25"/>
    <w:rsid w:val="00B55135"/>
    <w:rsid w:val="00B7486F"/>
    <w:rsid w:val="00BA70B3"/>
    <w:rsid w:val="00BC323E"/>
    <w:rsid w:val="00BD18CA"/>
    <w:rsid w:val="00BE0679"/>
    <w:rsid w:val="00BE5679"/>
    <w:rsid w:val="00BE6FA1"/>
    <w:rsid w:val="00C0394B"/>
    <w:rsid w:val="00C15615"/>
    <w:rsid w:val="00C32226"/>
    <w:rsid w:val="00C32CC0"/>
    <w:rsid w:val="00C32E2A"/>
    <w:rsid w:val="00C346CE"/>
    <w:rsid w:val="00C44666"/>
    <w:rsid w:val="00C46F68"/>
    <w:rsid w:val="00C51134"/>
    <w:rsid w:val="00C53A57"/>
    <w:rsid w:val="00C54BE3"/>
    <w:rsid w:val="00C67FF0"/>
    <w:rsid w:val="00C8195D"/>
    <w:rsid w:val="00C90BB3"/>
    <w:rsid w:val="00CE461E"/>
    <w:rsid w:val="00CF77A1"/>
    <w:rsid w:val="00D141D3"/>
    <w:rsid w:val="00D23EAF"/>
    <w:rsid w:val="00D34432"/>
    <w:rsid w:val="00D46C4B"/>
    <w:rsid w:val="00D5414E"/>
    <w:rsid w:val="00D556BF"/>
    <w:rsid w:val="00D75B16"/>
    <w:rsid w:val="00D87E84"/>
    <w:rsid w:val="00D94C90"/>
    <w:rsid w:val="00DD3C30"/>
    <w:rsid w:val="00DE3291"/>
    <w:rsid w:val="00E01C93"/>
    <w:rsid w:val="00E03F56"/>
    <w:rsid w:val="00E10949"/>
    <w:rsid w:val="00E11514"/>
    <w:rsid w:val="00E12AE0"/>
    <w:rsid w:val="00E13BC1"/>
    <w:rsid w:val="00E2534A"/>
    <w:rsid w:val="00E268F9"/>
    <w:rsid w:val="00E467F0"/>
    <w:rsid w:val="00E735CE"/>
    <w:rsid w:val="00E86266"/>
    <w:rsid w:val="00E866BD"/>
    <w:rsid w:val="00E87E5B"/>
    <w:rsid w:val="00EA77F3"/>
    <w:rsid w:val="00EC66B1"/>
    <w:rsid w:val="00ED42C6"/>
    <w:rsid w:val="00F20A78"/>
    <w:rsid w:val="00F36B50"/>
    <w:rsid w:val="00F4486A"/>
    <w:rsid w:val="00F57E7D"/>
    <w:rsid w:val="00F97CE8"/>
    <w:rsid w:val="00FA091F"/>
    <w:rsid w:val="00FA092B"/>
    <w:rsid w:val="00FA71F9"/>
    <w:rsid w:val="00FB5D88"/>
    <w:rsid w:val="00FE3C0F"/>
    <w:rsid w:val="00FE6BEC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72DA03"/>
  <w15:docId w15:val="{59CC6F68-20B2-4B9C-8E11-0FDD5F1E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0" w:lineRule="atLeast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A1C31"/>
    <w:rPr>
      <w:rFonts w:ascii="Tahoma" w:hAnsi="Tahoma" w:cs="Tahoma"/>
      <w:sz w:val="16"/>
      <w:szCs w:val="16"/>
    </w:rPr>
  </w:style>
  <w:style w:type="character" w:styleId="Hyperlink">
    <w:name w:val="Hyperlink"/>
    <w:rsid w:val="00D87E84"/>
    <w:rPr>
      <w:color w:val="0000FF"/>
      <w:u w:val="single"/>
    </w:rPr>
  </w:style>
  <w:style w:type="table" w:styleId="TableGrid">
    <w:name w:val="Table Grid"/>
    <w:basedOn w:val="TableNormal"/>
    <w:rsid w:val="003F7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03C5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80DDB"/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0DDB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80DDB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semiHidden/>
    <w:rsid w:val="00680DDB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268F9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463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FollowedHyperlink">
    <w:name w:val="FollowedHyperlink"/>
    <w:basedOn w:val="DefaultParagraphFont"/>
    <w:semiHidden/>
    <w:unhideWhenUsed/>
    <w:rsid w:val="00A253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ramaley@fire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uff\Downloads\template_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BC841-C989-4127-8D3B-3BC49E19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template_memo.dotx</Template>
  <TotalTime>2</TotalTime>
  <Pages>2</Pages>
  <Words>600</Words>
  <Characters>4591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                                                                                                               The resources Agency</vt:lpstr>
    </vt:vector>
  </TitlesOfParts>
  <Company/>
  <LinksUpToDate>false</LinksUpToDate>
  <CharactersWithSpaces>5181</CharactersWithSpaces>
  <SharedDoc>false</SharedDoc>
  <HLinks>
    <vt:vector size="6" baseType="variant"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http://webfp1/fpfsweb/catalog.aspx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                                                                                                                The resources Agency</dc:title>
  <dc:creator>Huff, Eric@CALFIRE</dc:creator>
  <cp:lastModifiedBy>Kemp, Mazonika@BOF</cp:lastModifiedBy>
  <cp:revision>3</cp:revision>
  <cp:lastPrinted>2013-01-24T15:29:00Z</cp:lastPrinted>
  <dcterms:created xsi:type="dcterms:W3CDTF">2024-06-10T18:12:00Z</dcterms:created>
  <dcterms:modified xsi:type="dcterms:W3CDTF">2024-06-12T15:02:00Z</dcterms:modified>
</cp:coreProperties>
</file>