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90C3" w14:textId="77777777" w:rsidR="00E320AD" w:rsidRPr="00E320AD" w:rsidRDefault="00E320AD" w:rsidP="00E320AD">
      <w:pPr>
        <w:autoSpaceDE w:val="0"/>
        <w:autoSpaceDN w:val="0"/>
        <w:adjustRightInd w:val="0"/>
        <w:spacing w:after="0" w:line="240" w:lineRule="auto"/>
        <w:rPr>
          <w:rFonts w:ascii="Arial" w:hAnsi="Arial" w:cs="Arial"/>
          <w:color w:val="000000"/>
          <w:sz w:val="24"/>
          <w:szCs w:val="24"/>
        </w:rPr>
      </w:pPr>
    </w:p>
    <w:p w14:paraId="1759489B" w14:textId="047836B3" w:rsidR="00E320AD" w:rsidRPr="00E320AD" w:rsidRDefault="00E320AD" w:rsidP="00BF2692">
      <w:pPr>
        <w:autoSpaceDE w:val="0"/>
        <w:autoSpaceDN w:val="0"/>
        <w:adjustRightInd w:val="0"/>
        <w:spacing w:after="0" w:line="240" w:lineRule="auto"/>
        <w:jc w:val="center"/>
        <w:rPr>
          <w:rFonts w:ascii="Arial" w:hAnsi="Arial" w:cs="Arial"/>
          <w:color w:val="000000"/>
          <w:sz w:val="24"/>
          <w:szCs w:val="24"/>
        </w:rPr>
      </w:pPr>
      <w:r w:rsidRPr="00E320AD">
        <w:rPr>
          <w:rFonts w:ascii="Arial" w:hAnsi="Arial" w:cs="Arial"/>
          <w:color w:val="000000"/>
          <w:sz w:val="24"/>
          <w:szCs w:val="24"/>
        </w:rPr>
        <w:t xml:space="preserve"> </w:t>
      </w:r>
      <w:r w:rsidRPr="00E320AD">
        <w:rPr>
          <w:rFonts w:ascii="Arial" w:hAnsi="Arial" w:cs="Arial"/>
          <w:b/>
          <w:bCs/>
          <w:color w:val="000000"/>
          <w:sz w:val="23"/>
          <w:szCs w:val="23"/>
          <w:u w:val="single"/>
        </w:rPr>
        <w:t>Effectiveness Monitoring Committee</w:t>
      </w:r>
      <w:r w:rsidR="00F92EBA">
        <w:rPr>
          <w:rFonts w:ascii="Arial" w:hAnsi="Arial" w:cs="Arial"/>
          <w:b/>
          <w:bCs/>
          <w:color w:val="000000"/>
          <w:sz w:val="23"/>
          <w:szCs w:val="23"/>
          <w:u w:val="single"/>
        </w:rPr>
        <w:t xml:space="preserve"> - </w:t>
      </w:r>
      <w:r w:rsidRPr="00E320AD">
        <w:rPr>
          <w:rFonts w:ascii="Arial" w:hAnsi="Arial" w:cs="Arial"/>
          <w:b/>
          <w:bCs/>
          <w:color w:val="000000"/>
          <w:sz w:val="23"/>
          <w:szCs w:val="23"/>
          <w:u w:val="single"/>
        </w:rPr>
        <w:t xml:space="preserve"> </w:t>
      </w:r>
    </w:p>
    <w:p w14:paraId="720B7042" w14:textId="77E6D26F" w:rsidR="00E320AD" w:rsidRDefault="00E320AD" w:rsidP="00C53BFA">
      <w:pPr>
        <w:jc w:val="center"/>
        <w:rPr>
          <w:rFonts w:ascii="Arial" w:hAnsi="Arial" w:cs="Arial"/>
          <w:b/>
          <w:bCs/>
          <w:color w:val="000000"/>
          <w:sz w:val="23"/>
          <w:szCs w:val="23"/>
          <w:u w:val="single"/>
        </w:rPr>
      </w:pPr>
      <w:r w:rsidRPr="00E320AD">
        <w:rPr>
          <w:rFonts w:ascii="Arial" w:hAnsi="Arial" w:cs="Arial"/>
          <w:b/>
          <w:bCs/>
          <w:color w:val="000000"/>
          <w:sz w:val="23"/>
          <w:szCs w:val="23"/>
          <w:u w:val="single"/>
        </w:rPr>
        <w:t>Completed Research Assessment</w:t>
      </w:r>
      <w:r w:rsidR="00F92EBA">
        <w:rPr>
          <w:rFonts w:ascii="Arial" w:hAnsi="Arial" w:cs="Arial"/>
          <w:b/>
          <w:bCs/>
          <w:color w:val="000000"/>
          <w:sz w:val="23"/>
          <w:szCs w:val="23"/>
          <w:u w:val="single"/>
        </w:rPr>
        <w:t xml:space="preserve"> for EMC-201</w:t>
      </w:r>
      <w:r w:rsidR="000532A4">
        <w:rPr>
          <w:rFonts w:ascii="Arial" w:hAnsi="Arial" w:cs="Arial"/>
          <w:b/>
          <w:bCs/>
          <w:color w:val="000000"/>
          <w:sz w:val="23"/>
          <w:szCs w:val="23"/>
          <w:u w:val="single"/>
        </w:rPr>
        <w:t>9</w:t>
      </w:r>
      <w:r w:rsidR="00F92EBA">
        <w:rPr>
          <w:rFonts w:ascii="Arial" w:hAnsi="Arial" w:cs="Arial"/>
          <w:b/>
          <w:bCs/>
          <w:color w:val="000000"/>
          <w:sz w:val="23"/>
          <w:szCs w:val="23"/>
          <w:u w:val="single"/>
        </w:rPr>
        <w:t>-00</w:t>
      </w:r>
      <w:r w:rsidR="000532A4">
        <w:rPr>
          <w:rFonts w:ascii="Arial" w:hAnsi="Arial" w:cs="Arial"/>
          <w:b/>
          <w:bCs/>
          <w:color w:val="000000"/>
          <w:sz w:val="23"/>
          <w:szCs w:val="23"/>
          <w:u w:val="single"/>
        </w:rPr>
        <w:t>2</w:t>
      </w:r>
      <w:r w:rsidR="00E410C7">
        <w:rPr>
          <w:rFonts w:ascii="Arial" w:hAnsi="Arial" w:cs="Arial"/>
          <w:b/>
          <w:bCs/>
          <w:color w:val="000000"/>
          <w:sz w:val="23"/>
          <w:szCs w:val="23"/>
          <w:u w:val="single"/>
        </w:rPr>
        <w:t>: Evaluating Treatment Longevity and Maintenance Needs for Fuel Reduction Projects Implemented in the Wildland Urban Interface of Plumas County, CA</w:t>
      </w:r>
    </w:p>
    <w:p w14:paraId="65FB6E0A" w14:textId="6AE9781B" w:rsidR="00E320AD" w:rsidRDefault="00E320AD" w:rsidP="00E320AD">
      <w:pPr>
        <w:rPr>
          <w:rFonts w:ascii="Arial" w:hAnsi="Arial" w:cs="Arial"/>
          <w:b/>
          <w:bCs/>
          <w:color w:val="000000"/>
          <w:sz w:val="23"/>
          <w:szCs w:val="23"/>
        </w:rPr>
      </w:pPr>
      <w:r>
        <w:rPr>
          <w:rFonts w:ascii="Arial" w:hAnsi="Arial" w:cs="Arial"/>
          <w:b/>
          <w:bCs/>
          <w:color w:val="000000"/>
          <w:sz w:val="23"/>
          <w:szCs w:val="23"/>
        </w:rPr>
        <w:t>EMC Members:</w:t>
      </w:r>
    </w:p>
    <w:p w14:paraId="19B199AC" w14:textId="207A7394" w:rsidR="00E320AD" w:rsidRDefault="00E320AD" w:rsidP="00E320AD">
      <w:pPr>
        <w:rPr>
          <w:rFonts w:ascii="Arial" w:hAnsi="Arial" w:cs="Arial"/>
          <w:color w:val="000000"/>
          <w:sz w:val="23"/>
          <w:szCs w:val="23"/>
        </w:rPr>
      </w:pPr>
      <w:r>
        <w:rPr>
          <w:rFonts w:ascii="Arial" w:hAnsi="Arial" w:cs="Arial"/>
          <w:color w:val="000000"/>
          <w:sz w:val="23"/>
          <w:szCs w:val="23"/>
        </w:rPr>
        <w:t>Drew Coe – CAL FIRE</w:t>
      </w:r>
      <w:r w:rsidR="00D73D7C">
        <w:rPr>
          <w:rFonts w:ascii="Arial" w:hAnsi="Arial" w:cs="Arial"/>
          <w:color w:val="000000"/>
          <w:sz w:val="23"/>
          <w:szCs w:val="23"/>
        </w:rPr>
        <w:t xml:space="preserve">, Watershed Protection Program </w:t>
      </w:r>
    </w:p>
    <w:p w14:paraId="0E243AB3" w14:textId="4A391D84" w:rsidR="00E320AD" w:rsidRPr="00E320AD" w:rsidRDefault="003957A8" w:rsidP="00E320AD">
      <w:pPr>
        <w:rPr>
          <w:rFonts w:ascii="Arial" w:hAnsi="Arial" w:cs="Arial"/>
          <w:sz w:val="24"/>
          <w:szCs w:val="24"/>
        </w:rPr>
      </w:pPr>
      <w:r>
        <w:rPr>
          <w:rFonts w:ascii="Arial" w:hAnsi="Arial" w:cs="Arial"/>
          <w:color w:val="000000"/>
          <w:sz w:val="23"/>
          <w:szCs w:val="23"/>
        </w:rPr>
        <w:t>Dr. Stacy Drury</w:t>
      </w:r>
      <w:r w:rsidR="00E320AD">
        <w:rPr>
          <w:rFonts w:ascii="Arial" w:hAnsi="Arial" w:cs="Arial"/>
          <w:color w:val="000000"/>
          <w:sz w:val="23"/>
          <w:szCs w:val="23"/>
        </w:rPr>
        <w:t xml:space="preserve"> – </w:t>
      </w:r>
      <w:r>
        <w:rPr>
          <w:rFonts w:ascii="Arial" w:hAnsi="Arial" w:cs="Arial"/>
          <w:color w:val="000000"/>
          <w:sz w:val="23"/>
          <w:szCs w:val="23"/>
        </w:rPr>
        <w:t>United States Forest Service, Pacific Southwest Research Station</w:t>
      </w:r>
    </w:p>
    <w:p w14:paraId="4BAC498E" w14:textId="77777777" w:rsidR="00EC6CC8" w:rsidRPr="00EC6CC8" w:rsidRDefault="00EC6CC8" w:rsidP="00EC6CC8">
      <w:pPr>
        <w:autoSpaceDE w:val="0"/>
        <w:autoSpaceDN w:val="0"/>
        <w:adjustRightInd w:val="0"/>
        <w:spacing w:after="0" w:line="240" w:lineRule="auto"/>
        <w:rPr>
          <w:rFonts w:ascii="Calibri" w:hAnsi="Calibri" w:cs="Calibri"/>
          <w:color w:val="000000"/>
          <w:sz w:val="24"/>
          <w:szCs w:val="24"/>
        </w:rPr>
      </w:pPr>
    </w:p>
    <w:p w14:paraId="2523A7B6" w14:textId="4956D275" w:rsidR="00293A15" w:rsidRPr="00EC6CC8" w:rsidRDefault="00EC6CC8" w:rsidP="00EC6CC8">
      <w:pPr>
        <w:pStyle w:val="ListParagraph"/>
        <w:numPr>
          <w:ilvl w:val="0"/>
          <w:numId w:val="2"/>
        </w:numPr>
        <w:rPr>
          <w:rFonts w:ascii="Arial" w:hAnsi="Arial" w:cs="Arial"/>
          <w:b/>
          <w:bCs/>
          <w:sz w:val="24"/>
          <w:szCs w:val="24"/>
        </w:rPr>
      </w:pPr>
      <w:r w:rsidRPr="00EC6CC8">
        <w:rPr>
          <w:rFonts w:ascii="Arial" w:hAnsi="Arial" w:cs="Arial"/>
          <w:b/>
          <w:bCs/>
          <w:sz w:val="24"/>
          <w:szCs w:val="24"/>
        </w:rPr>
        <w:t xml:space="preserve">Does study </w:t>
      </w:r>
      <w:r>
        <w:rPr>
          <w:rFonts w:ascii="Arial" w:hAnsi="Arial" w:cs="Arial"/>
          <w:b/>
          <w:bCs/>
          <w:sz w:val="24"/>
          <w:szCs w:val="24"/>
        </w:rPr>
        <w:t>f</w:t>
      </w:r>
      <w:r w:rsidRPr="00EC6CC8">
        <w:rPr>
          <w:rFonts w:ascii="Arial" w:hAnsi="Arial" w:cs="Arial"/>
          <w:b/>
          <w:bCs/>
          <w:sz w:val="24"/>
          <w:szCs w:val="24"/>
        </w:rPr>
        <w:t>ulfill and address scientific question(s) posed in proposed research</w:t>
      </w:r>
      <w:r w:rsidR="00054E70">
        <w:rPr>
          <w:rFonts w:ascii="Arial" w:hAnsi="Arial" w:cs="Arial"/>
          <w:b/>
          <w:bCs/>
          <w:sz w:val="24"/>
          <w:szCs w:val="24"/>
        </w:rPr>
        <w:t>?</w:t>
      </w:r>
    </w:p>
    <w:p w14:paraId="7B6A6866" w14:textId="40CE29F8" w:rsidR="000532A4" w:rsidRDefault="00804543" w:rsidP="00054E70">
      <w:pPr>
        <w:rPr>
          <w:rFonts w:ascii="Arial" w:hAnsi="Arial" w:cs="Arial"/>
          <w:sz w:val="24"/>
          <w:szCs w:val="24"/>
        </w:rPr>
      </w:pPr>
      <w:r>
        <w:rPr>
          <w:rFonts w:ascii="Arial" w:hAnsi="Arial" w:cs="Arial"/>
          <w:b/>
          <w:bCs/>
          <w:sz w:val="24"/>
          <w:szCs w:val="24"/>
        </w:rPr>
        <w:t>No</w:t>
      </w:r>
      <w:r w:rsidR="00054E70">
        <w:rPr>
          <w:rFonts w:ascii="Arial" w:hAnsi="Arial" w:cs="Arial"/>
          <w:sz w:val="24"/>
          <w:szCs w:val="24"/>
        </w:rPr>
        <w:t xml:space="preserve">.  </w:t>
      </w:r>
      <w:r w:rsidR="000532A4">
        <w:rPr>
          <w:rFonts w:ascii="Arial" w:hAnsi="Arial" w:cs="Arial"/>
          <w:sz w:val="24"/>
          <w:szCs w:val="24"/>
        </w:rPr>
        <w:t xml:space="preserve">The study was unable to </w:t>
      </w:r>
      <w:r w:rsidR="00CC1A04">
        <w:rPr>
          <w:rFonts w:ascii="Arial" w:hAnsi="Arial" w:cs="Arial"/>
          <w:sz w:val="24"/>
          <w:szCs w:val="24"/>
        </w:rPr>
        <w:t xml:space="preserve">rigorously </w:t>
      </w:r>
      <w:r w:rsidR="000532A4">
        <w:rPr>
          <w:rFonts w:ascii="Arial" w:hAnsi="Arial" w:cs="Arial"/>
          <w:sz w:val="24"/>
          <w:szCs w:val="24"/>
        </w:rPr>
        <w:t xml:space="preserve">answer </w:t>
      </w:r>
      <w:proofErr w:type="gramStart"/>
      <w:r w:rsidR="000532A4">
        <w:rPr>
          <w:rFonts w:ascii="Arial" w:hAnsi="Arial" w:cs="Arial"/>
          <w:sz w:val="24"/>
          <w:szCs w:val="24"/>
        </w:rPr>
        <w:t>the majority of</w:t>
      </w:r>
      <w:proofErr w:type="gramEnd"/>
      <w:r w:rsidR="000532A4">
        <w:rPr>
          <w:rFonts w:ascii="Arial" w:hAnsi="Arial" w:cs="Arial"/>
          <w:sz w:val="24"/>
          <w:szCs w:val="24"/>
        </w:rPr>
        <w:t xml:space="preserve"> questions proposed to be addressed in the original scope of work</w:t>
      </w:r>
      <w:r w:rsidR="00054E70">
        <w:rPr>
          <w:rFonts w:ascii="Arial" w:hAnsi="Arial" w:cs="Arial"/>
          <w:sz w:val="24"/>
          <w:szCs w:val="24"/>
        </w:rPr>
        <w:t>.</w:t>
      </w:r>
      <w:r w:rsidR="00CC1A04">
        <w:rPr>
          <w:rFonts w:ascii="Arial" w:hAnsi="Arial" w:cs="Arial"/>
          <w:sz w:val="24"/>
          <w:szCs w:val="24"/>
        </w:rPr>
        <w:t xml:space="preserve">  Many answers to the questions were qualitative only, with no supporting quantitative data.</w:t>
      </w:r>
      <w:r w:rsidR="000532A4">
        <w:rPr>
          <w:rFonts w:ascii="Arial" w:hAnsi="Arial" w:cs="Arial"/>
          <w:sz w:val="24"/>
          <w:szCs w:val="24"/>
        </w:rPr>
        <w:t xml:space="preserve">  These questions included</w:t>
      </w:r>
      <w:r w:rsidR="007B349B">
        <w:rPr>
          <w:rFonts w:ascii="Arial" w:hAnsi="Arial" w:cs="Arial"/>
          <w:sz w:val="24"/>
          <w:szCs w:val="24"/>
        </w:rPr>
        <w:t xml:space="preserve"> ones from EMC’s 2018 Strategic Plan.</w:t>
      </w:r>
    </w:p>
    <w:p w14:paraId="31848562" w14:textId="601A7B79" w:rsidR="000532A4" w:rsidRDefault="007B349B" w:rsidP="007B349B">
      <w:pPr>
        <w:ind w:left="720"/>
        <w:rPr>
          <w:rFonts w:ascii="Arial" w:hAnsi="Arial" w:cs="Arial"/>
          <w:sz w:val="24"/>
          <w:szCs w:val="24"/>
        </w:rPr>
      </w:pPr>
      <w:r>
        <w:rPr>
          <w:rFonts w:ascii="Arial" w:hAnsi="Arial" w:cs="Arial"/>
          <w:sz w:val="24"/>
          <w:szCs w:val="24"/>
        </w:rPr>
        <w:t>Are the Forest Practice Rules effective in:</w:t>
      </w:r>
    </w:p>
    <w:p w14:paraId="57AF4A1B" w14:textId="5024FCDD" w:rsidR="007B349B" w:rsidRDefault="007B349B" w:rsidP="007B349B">
      <w:pPr>
        <w:pStyle w:val="ListParagraph"/>
        <w:numPr>
          <w:ilvl w:val="0"/>
          <w:numId w:val="26"/>
        </w:numPr>
        <w:rPr>
          <w:rFonts w:ascii="Arial" w:hAnsi="Arial" w:cs="Arial"/>
          <w:sz w:val="24"/>
          <w:szCs w:val="24"/>
        </w:rPr>
      </w:pPr>
      <w:r>
        <w:rPr>
          <w:rFonts w:ascii="Arial" w:hAnsi="Arial" w:cs="Arial"/>
          <w:sz w:val="24"/>
          <w:szCs w:val="24"/>
        </w:rPr>
        <w:t>Treating post-harvest slash and slash piles to modify fire behavior?</w:t>
      </w:r>
    </w:p>
    <w:p w14:paraId="0D42EA72" w14:textId="2A0982F8" w:rsidR="007B349B" w:rsidRDefault="007B349B" w:rsidP="007B349B">
      <w:pPr>
        <w:pStyle w:val="ListParagraph"/>
        <w:numPr>
          <w:ilvl w:val="0"/>
          <w:numId w:val="26"/>
        </w:numPr>
        <w:rPr>
          <w:rFonts w:ascii="Arial" w:hAnsi="Arial" w:cs="Arial"/>
          <w:sz w:val="24"/>
          <w:szCs w:val="24"/>
        </w:rPr>
      </w:pPr>
      <w:r>
        <w:rPr>
          <w:rFonts w:ascii="Arial" w:hAnsi="Arial" w:cs="Arial"/>
          <w:sz w:val="24"/>
          <w:szCs w:val="24"/>
        </w:rPr>
        <w:t>Treating post-harvest slash and retaining wildlife habitat structures, including snags and large woody debris?</w:t>
      </w:r>
    </w:p>
    <w:p w14:paraId="681486FC" w14:textId="7093B4C4" w:rsidR="007B349B" w:rsidRDefault="007B349B" w:rsidP="007B349B">
      <w:pPr>
        <w:pStyle w:val="ListParagraph"/>
        <w:numPr>
          <w:ilvl w:val="0"/>
          <w:numId w:val="26"/>
        </w:numPr>
        <w:rPr>
          <w:rFonts w:ascii="Arial" w:hAnsi="Arial" w:cs="Arial"/>
          <w:sz w:val="24"/>
          <w:szCs w:val="24"/>
        </w:rPr>
      </w:pPr>
      <w:r>
        <w:rPr>
          <w:rFonts w:ascii="Arial" w:hAnsi="Arial" w:cs="Arial"/>
          <w:sz w:val="24"/>
          <w:szCs w:val="24"/>
        </w:rPr>
        <w:t>Managing fuel loads, vegetation patterns, and fuel breaks for fire hazard reduction.</w:t>
      </w:r>
    </w:p>
    <w:p w14:paraId="7C3B63C5" w14:textId="5AB5AC26" w:rsidR="007B349B" w:rsidRDefault="007B349B" w:rsidP="007B349B">
      <w:pPr>
        <w:rPr>
          <w:rFonts w:ascii="Arial" w:hAnsi="Arial" w:cs="Arial"/>
          <w:sz w:val="24"/>
          <w:szCs w:val="24"/>
        </w:rPr>
      </w:pPr>
      <w:r>
        <w:rPr>
          <w:rFonts w:ascii="Arial" w:hAnsi="Arial" w:cs="Arial"/>
          <w:sz w:val="24"/>
          <w:szCs w:val="24"/>
        </w:rPr>
        <w:t>In addition, several other questions were proposed in the initial scope of work including:</w:t>
      </w:r>
    </w:p>
    <w:p w14:paraId="61BBED3A" w14:textId="2C5209CD" w:rsidR="007B349B" w:rsidRDefault="007B349B" w:rsidP="007B349B">
      <w:pPr>
        <w:pStyle w:val="ListParagraph"/>
        <w:numPr>
          <w:ilvl w:val="0"/>
          <w:numId w:val="27"/>
        </w:numPr>
        <w:ind w:firstLine="0"/>
        <w:rPr>
          <w:rFonts w:ascii="Arial" w:hAnsi="Arial" w:cs="Arial"/>
          <w:sz w:val="24"/>
          <w:szCs w:val="24"/>
        </w:rPr>
      </w:pPr>
      <w:r>
        <w:rPr>
          <w:rFonts w:ascii="Arial" w:hAnsi="Arial" w:cs="Arial"/>
          <w:sz w:val="24"/>
          <w:szCs w:val="24"/>
        </w:rPr>
        <w:t>How many years are fuel reduction treatments in the WUI effective for?</w:t>
      </w:r>
    </w:p>
    <w:p w14:paraId="02C70AD9" w14:textId="12B9D7F8" w:rsidR="007B349B" w:rsidRDefault="007B349B" w:rsidP="007B349B">
      <w:pPr>
        <w:pStyle w:val="ListParagraph"/>
        <w:numPr>
          <w:ilvl w:val="0"/>
          <w:numId w:val="27"/>
        </w:numPr>
        <w:ind w:firstLine="0"/>
        <w:rPr>
          <w:rFonts w:ascii="Arial" w:hAnsi="Arial" w:cs="Arial"/>
          <w:sz w:val="24"/>
          <w:szCs w:val="24"/>
        </w:rPr>
      </w:pPr>
      <w:r>
        <w:rPr>
          <w:rFonts w:ascii="Arial" w:hAnsi="Arial" w:cs="Arial"/>
          <w:sz w:val="24"/>
          <w:szCs w:val="24"/>
        </w:rPr>
        <w:t>Is there a variation in treatment effectiveness over time by vegetation type, type of treatment, or equipment used?</w:t>
      </w:r>
    </w:p>
    <w:p w14:paraId="499CC757" w14:textId="11B21D87" w:rsidR="007B349B" w:rsidRPr="007B349B" w:rsidRDefault="007B349B" w:rsidP="007B349B">
      <w:pPr>
        <w:pStyle w:val="ListParagraph"/>
        <w:numPr>
          <w:ilvl w:val="0"/>
          <w:numId w:val="27"/>
        </w:numPr>
        <w:ind w:firstLine="0"/>
        <w:rPr>
          <w:rFonts w:ascii="Arial" w:hAnsi="Arial" w:cs="Arial"/>
          <w:sz w:val="24"/>
          <w:szCs w:val="24"/>
        </w:rPr>
      </w:pPr>
      <w:r>
        <w:rPr>
          <w:rFonts w:ascii="Arial" w:hAnsi="Arial" w:cs="Arial"/>
          <w:sz w:val="24"/>
          <w:szCs w:val="24"/>
        </w:rPr>
        <w:t>What are the potential maintenance needs for existing treatments and at what treatment age?</w:t>
      </w:r>
    </w:p>
    <w:p w14:paraId="262BC76A" w14:textId="2ACA22F1" w:rsidR="003A2BC1" w:rsidRDefault="000532A4" w:rsidP="00054E70">
      <w:pPr>
        <w:rPr>
          <w:rFonts w:ascii="Arial" w:hAnsi="Arial" w:cs="Arial"/>
          <w:sz w:val="24"/>
          <w:szCs w:val="24"/>
        </w:rPr>
      </w:pPr>
      <w:r>
        <w:rPr>
          <w:rFonts w:ascii="Arial" w:hAnsi="Arial" w:cs="Arial"/>
          <w:sz w:val="24"/>
          <w:szCs w:val="24"/>
        </w:rPr>
        <w:t>The primary investigators (PIs) were unable to implement their proposed methods which was reliant on LiDAR acquisition and UAV-obtained point cloud data.  Instead, the PIs leveraged data from SALO’s California Forest Observatory, Region 5 Funded Community Wildfire at Risk Information, and USFS burn severity data for the North Complex and Dixie Fires.</w:t>
      </w:r>
      <w:r w:rsidR="00E65916">
        <w:rPr>
          <w:rFonts w:ascii="Arial" w:hAnsi="Arial" w:cs="Arial"/>
          <w:sz w:val="24"/>
          <w:szCs w:val="24"/>
        </w:rPr>
        <w:t xml:space="preserve">  Implementation of the study was impacted by the Dixie Fire, which affected the assessment area</w:t>
      </w:r>
      <w:r w:rsidR="00EC227A">
        <w:rPr>
          <w:rFonts w:ascii="Arial" w:hAnsi="Arial" w:cs="Arial"/>
          <w:sz w:val="24"/>
          <w:szCs w:val="24"/>
        </w:rPr>
        <w:t xml:space="preserve"> and the ability to answer the questions posed in the scope of work</w:t>
      </w:r>
      <w:r w:rsidR="00E65916">
        <w:rPr>
          <w:rFonts w:ascii="Arial" w:hAnsi="Arial" w:cs="Arial"/>
          <w:sz w:val="24"/>
          <w:szCs w:val="24"/>
        </w:rPr>
        <w:t xml:space="preserve">. </w:t>
      </w:r>
      <w:r>
        <w:rPr>
          <w:rFonts w:ascii="Arial" w:hAnsi="Arial" w:cs="Arial"/>
          <w:sz w:val="24"/>
          <w:szCs w:val="24"/>
        </w:rPr>
        <w:t xml:space="preserve">    </w:t>
      </w:r>
    </w:p>
    <w:p w14:paraId="73B80ADF" w14:textId="77777777" w:rsidR="003A2BC1" w:rsidRPr="003A2BC1" w:rsidRDefault="003A2BC1" w:rsidP="003A2BC1">
      <w:pPr>
        <w:pStyle w:val="ListParagraph"/>
        <w:numPr>
          <w:ilvl w:val="0"/>
          <w:numId w:val="3"/>
        </w:numPr>
        <w:rPr>
          <w:rFonts w:ascii="Arial" w:hAnsi="Arial" w:cs="Arial"/>
          <w:b/>
          <w:bCs/>
          <w:sz w:val="24"/>
          <w:szCs w:val="24"/>
        </w:rPr>
      </w:pPr>
      <w:r w:rsidRPr="003A2BC1">
        <w:rPr>
          <w:rFonts w:ascii="Arial" w:hAnsi="Arial" w:cs="Arial"/>
          <w:b/>
          <w:bCs/>
          <w:sz w:val="24"/>
          <w:szCs w:val="24"/>
        </w:rPr>
        <w:t xml:space="preserve">Does the study inform a rule, numeric target, performance target, or resource objective? </w:t>
      </w:r>
    </w:p>
    <w:p w14:paraId="0B7FD927" w14:textId="77777777" w:rsidR="003A2BC1" w:rsidRDefault="003A2BC1" w:rsidP="003A2BC1">
      <w:pPr>
        <w:pStyle w:val="ListParagraph"/>
        <w:ind w:left="1080"/>
        <w:rPr>
          <w:rFonts w:ascii="Arial" w:hAnsi="Arial" w:cs="Arial"/>
          <w:sz w:val="24"/>
          <w:szCs w:val="24"/>
        </w:rPr>
      </w:pPr>
    </w:p>
    <w:p w14:paraId="58003D69" w14:textId="28F18814" w:rsidR="003A2BC1" w:rsidRDefault="00CC1A04" w:rsidP="00ED750A">
      <w:pPr>
        <w:pStyle w:val="ListParagraph"/>
        <w:ind w:left="0"/>
        <w:rPr>
          <w:rFonts w:ascii="Arial" w:hAnsi="Arial" w:cs="Arial"/>
          <w:sz w:val="24"/>
          <w:szCs w:val="24"/>
        </w:rPr>
      </w:pPr>
      <w:r>
        <w:rPr>
          <w:rFonts w:ascii="Arial" w:hAnsi="Arial" w:cs="Arial"/>
          <w:b/>
          <w:bCs/>
          <w:sz w:val="24"/>
          <w:szCs w:val="24"/>
        </w:rPr>
        <w:lastRenderedPageBreak/>
        <w:t>No</w:t>
      </w:r>
      <w:r w:rsidR="003A2BC1">
        <w:rPr>
          <w:rFonts w:ascii="Arial" w:hAnsi="Arial" w:cs="Arial"/>
          <w:sz w:val="24"/>
          <w:szCs w:val="24"/>
        </w:rPr>
        <w:t xml:space="preserve">.  </w:t>
      </w:r>
      <w:r>
        <w:rPr>
          <w:rFonts w:ascii="Arial" w:hAnsi="Arial" w:cs="Arial"/>
          <w:sz w:val="24"/>
          <w:szCs w:val="24"/>
        </w:rPr>
        <w:t>The study does not rigorously inform a rule, numeric target, performance target, or resource objective.</w:t>
      </w:r>
      <w:r w:rsidR="003A2BC1">
        <w:rPr>
          <w:rFonts w:ascii="Arial" w:hAnsi="Arial" w:cs="Arial"/>
          <w:sz w:val="24"/>
          <w:szCs w:val="24"/>
        </w:rPr>
        <w:t xml:space="preserve">  </w:t>
      </w:r>
    </w:p>
    <w:p w14:paraId="4AF0C31A" w14:textId="1179A7F8" w:rsidR="007A4D92" w:rsidRDefault="007A4D92" w:rsidP="00ED750A">
      <w:pPr>
        <w:pStyle w:val="ListParagraph"/>
        <w:ind w:left="0"/>
        <w:rPr>
          <w:rFonts w:ascii="Arial" w:hAnsi="Arial" w:cs="Arial"/>
          <w:sz w:val="24"/>
          <w:szCs w:val="24"/>
        </w:rPr>
      </w:pPr>
    </w:p>
    <w:p w14:paraId="032DA1AD" w14:textId="6085207A" w:rsidR="007A4D92" w:rsidRPr="007A4D92" w:rsidRDefault="007A4D92" w:rsidP="007A4D92">
      <w:pPr>
        <w:pStyle w:val="ListParagraph"/>
        <w:numPr>
          <w:ilvl w:val="0"/>
          <w:numId w:val="3"/>
        </w:numPr>
        <w:rPr>
          <w:rFonts w:ascii="Arial" w:hAnsi="Arial" w:cs="Arial"/>
          <w:b/>
          <w:bCs/>
          <w:sz w:val="24"/>
          <w:szCs w:val="24"/>
        </w:rPr>
      </w:pPr>
      <w:r>
        <w:rPr>
          <w:rFonts w:ascii="Arial" w:hAnsi="Arial" w:cs="Arial"/>
          <w:b/>
          <w:bCs/>
          <w:sz w:val="24"/>
          <w:szCs w:val="24"/>
        </w:rPr>
        <w:t>Does the study inform the Forest Practice Rules?</w:t>
      </w:r>
    </w:p>
    <w:p w14:paraId="094F2391" w14:textId="249B8BD6" w:rsidR="00EC6CC8" w:rsidRPr="00EC6CC8" w:rsidRDefault="00CC1A04" w:rsidP="00EC6CC8">
      <w:pPr>
        <w:pStyle w:val="ListParagraph"/>
        <w:numPr>
          <w:ilvl w:val="0"/>
          <w:numId w:val="19"/>
        </w:numPr>
        <w:rPr>
          <w:rFonts w:ascii="Arial" w:hAnsi="Arial" w:cs="Arial"/>
          <w:sz w:val="24"/>
          <w:szCs w:val="24"/>
        </w:rPr>
      </w:pPr>
      <w:r>
        <w:rPr>
          <w:rFonts w:ascii="Arial" w:hAnsi="Arial" w:cs="Arial"/>
          <w:b/>
          <w:bCs/>
          <w:sz w:val="24"/>
          <w:szCs w:val="24"/>
        </w:rPr>
        <w:t xml:space="preserve">No.  </w:t>
      </w:r>
      <w:r>
        <w:rPr>
          <w:rFonts w:ascii="Arial" w:hAnsi="Arial" w:cs="Arial"/>
          <w:sz w:val="24"/>
          <w:szCs w:val="24"/>
        </w:rPr>
        <w:t xml:space="preserve">All results pertaining to the Forest Practice Rules are qualitative only, with no quantitative data </w:t>
      </w:r>
      <w:r w:rsidR="00296055">
        <w:rPr>
          <w:rFonts w:ascii="Arial" w:hAnsi="Arial" w:cs="Arial"/>
          <w:sz w:val="24"/>
          <w:szCs w:val="24"/>
        </w:rPr>
        <w:t>as supporting evidence.  Perhaps the biggest shortcoming of the study is that it is impossible to determine which projects were subject to Forest Practice Rules and which ones were subject to other regulatory requirements outside of the Forest Practice realm</w:t>
      </w:r>
      <w:r w:rsidR="0087315B">
        <w:rPr>
          <w:rFonts w:ascii="Arial" w:hAnsi="Arial" w:cs="Arial"/>
          <w:sz w:val="24"/>
          <w:szCs w:val="24"/>
        </w:rPr>
        <w:t>.</w:t>
      </w:r>
    </w:p>
    <w:p w14:paraId="05870F27" w14:textId="77777777" w:rsidR="001E5DE8" w:rsidRPr="001E5DE8" w:rsidRDefault="001E5DE8" w:rsidP="001E5DE8">
      <w:pPr>
        <w:pStyle w:val="ListParagraph"/>
        <w:rPr>
          <w:rFonts w:ascii="Arial" w:hAnsi="Arial" w:cs="Arial"/>
          <w:sz w:val="24"/>
          <w:szCs w:val="24"/>
        </w:rPr>
      </w:pPr>
    </w:p>
    <w:p w14:paraId="6CAA82FB" w14:textId="4A42D378" w:rsidR="00ED750A" w:rsidRDefault="000A77C3" w:rsidP="000A77C3">
      <w:pPr>
        <w:pStyle w:val="ListParagraph"/>
        <w:numPr>
          <w:ilvl w:val="0"/>
          <w:numId w:val="7"/>
        </w:numPr>
        <w:rPr>
          <w:rFonts w:ascii="Arial" w:hAnsi="Arial" w:cs="Arial"/>
          <w:b/>
          <w:bCs/>
          <w:sz w:val="24"/>
          <w:szCs w:val="24"/>
        </w:rPr>
      </w:pPr>
      <w:r>
        <w:rPr>
          <w:rFonts w:ascii="Arial" w:hAnsi="Arial" w:cs="Arial"/>
          <w:b/>
          <w:bCs/>
          <w:sz w:val="24"/>
          <w:szCs w:val="24"/>
        </w:rPr>
        <w:t>Is the study scientifically sound?</w:t>
      </w:r>
    </w:p>
    <w:p w14:paraId="00B78BCD" w14:textId="77777777" w:rsidR="006E18F7" w:rsidRDefault="006E18F7" w:rsidP="006E18F7">
      <w:pPr>
        <w:pStyle w:val="ListParagraph"/>
        <w:ind w:left="360"/>
        <w:rPr>
          <w:rFonts w:ascii="Arial" w:hAnsi="Arial" w:cs="Arial"/>
          <w:b/>
          <w:bCs/>
          <w:sz w:val="24"/>
          <w:szCs w:val="24"/>
        </w:rPr>
      </w:pPr>
    </w:p>
    <w:p w14:paraId="52FCF9F1" w14:textId="19683D86" w:rsidR="00F07393" w:rsidRPr="00F82AAA" w:rsidRDefault="00F82AAA" w:rsidP="00F82AAA">
      <w:pPr>
        <w:rPr>
          <w:rFonts w:ascii="Arial" w:hAnsi="Arial" w:cs="Arial"/>
          <w:b/>
          <w:bCs/>
          <w:sz w:val="24"/>
          <w:szCs w:val="24"/>
        </w:rPr>
      </w:pPr>
      <w:r>
        <w:rPr>
          <w:rFonts w:ascii="Arial" w:hAnsi="Arial" w:cs="Arial"/>
          <w:b/>
          <w:bCs/>
          <w:sz w:val="24"/>
          <w:szCs w:val="24"/>
        </w:rPr>
        <w:t xml:space="preserve">A. </w:t>
      </w:r>
      <w:r w:rsidR="00F07393" w:rsidRPr="00F82AAA">
        <w:rPr>
          <w:rFonts w:ascii="Arial" w:hAnsi="Arial" w:cs="Arial"/>
          <w:b/>
          <w:bCs/>
          <w:sz w:val="24"/>
          <w:szCs w:val="24"/>
        </w:rPr>
        <w:t>Was the study carried out pursuant to valid scientific protocols (i.e., study design, peer review)?</w:t>
      </w:r>
    </w:p>
    <w:p w14:paraId="2402BCED" w14:textId="77777777" w:rsidR="00ED750A" w:rsidRDefault="00ED750A" w:rsidP="00ED750A">
      <w:pPr>
        <w:pStyle w:val="ListParagraph"/>
        <w:ind w:left="0"/>
        <w:rPr>
          <w:rFonts w:ascii="Arial" w:hAnsi="Arial" w:cs="Arial"/>
          <w:sz w:val="24"/>
          <w:szCs w:val="24"/>
        </w:rPr>
      </w:pPr>
    </w:p>
    <w:p w14:paraId="34D61B21" w14:textId="6D9E95D4" w:rsidR="00DF0F57" w:rsidRDefault="00296055" w:rsidP="00C53BFA">
      <w:pPr>
        <w:pStyle w:val="ListParagraph"/>
        <w:rPr>
          <w:rFonts w:ascii="Arial" w:hAnsi="Arial" w:cs="Arial"/>
          <w:sz w:val="24"/>
          <w:szCs w:val="24"/>
        </w:rPr>
      </w:pPr>
      <w:r>
        <w:rPr>
          <w:rFonts w:ascii="Arial" w:hAnsi="Arial" w:cs="Arial"/>
          <w:b/>
          <w:bCs/>
          <w:sz w:val="24"/>
          <w:szCs w:val="24"/>
        </w:rPr>
        <w:t xml:space="preserve">No.  </w:t>
      </w:r>
      <w:r>
        <w:rPr>
          <w:rFonts w:ascii="Arial" w:hAnsi="Arial" w:cs="Arial"/>
          <w:sz w:val="24"/>
          <w:szCs w:val="24"/>
        </w:rPr>
        <w:t xml:space="preserve">The study was not peer reviewed.  The study design appeared robust in the proposal, but the PIs </w:t>
      </w:r>
      <w:r w:rsidR="00D73D7C">
        <w:rPr>
          <w:rFonts w:ascii="Arial" w:hAnsi="Arial" w:cs="Arial"/>
          <w:sz w:val="24"/>
          <w:szCs w:val="24"/>
        </w:rPr>
        <w:t>did not implement the proposed protocol</w:t>
      </w:r>
      <w:r>
        <w:rPr>
          <w:rFonts w:ascii="Arial" w:hAnsi="Arial" w:cs="Arial"/>
          <w:sz w:val="24"/>
          <w:szCs w:val="24"/>
        </w:rPr>
        <w:t xml:space="preserve"> during project implementation.  Furthermore, many of the results relevant to the study questions are qualitative only, with little quantitative supporting evidence.  </w:t>
      </w:r>
    </w:p>
    <w:p w14:paraId="0FCAD5BF" w14:textId="77777777" w:rsidR="00F07393" w:rsidRDefault="00F07393" w:rsidP="000A77C3">
      <w:pPr>
        <w:pStyle w:val="ListParagraph"/>
        <w:ind w:left="0"/>
        <w:rPr>
          <w:rFonts w:ascii="Arial" w:hAnsi="Arial" w:cs="Arial"/>
          <w:sz w:val="24"/>
          <w:szCs w:val="24"/>
        </w:rPr>
      </w:pPr>
    </w:p>
    <w:p w14:paraId="4C346EA5" w14:textId="29306F8B" w:rsidR="003A2BC1" w:rsidRDefault="00F07393" w:rsidP="00F07393">
      <w:pPr>
        <w:pStyle w:val="ListParagraph"/>
        <w:numPr>
          <w:ilvl w:val="0"/>
          <w:numId w:val="7"/>
        </w:numPr>
        <w:rPr>
          <w:rFonts w:ascii="Arial" w:hAnsi="Arial" w:cs="Arial"/>
          <w:b/>
          <w:bCs/>
          <w:sz w:val="24"/>
          <w:szCs w:val="24"/>
        </w:rPr>
      </w:pPr>
      <w:r>
        <w:rPr>
          <w:rFonts w:ascii="Arial" w:hAnsi="Arial" w:cs="Arial"/>
          <w:b/>
          <w:bCs/>
          <w:sz w:val="24"/>
          <w:szCs w:val="24"/>
        </w:rPr>
        <w:t>Is the study scalable?</w:t>
      </w:r>
    </w:p>
    <w:p w14:paraId="0F5222BF" w14:textId="6CD32DDD" w:rsidR="00081C3E" w:rsidRPr="00450E2B" w:rsidRDefault="007E5D09" w:rsidP="00450E2B">
      <w:pPr>
        <w:rPr>
          <w:rFonts w:ascii="Arial" w:hAnsi="Arial" w:cs="Arial"/>
          <w:b/>
          <w:bCs/>
          <w:sz w:val="24"/>
          <w:szCs w:val="24"/>
        </w:rPr>
      </w:pPr>
      <w:r w:rsidRPr="007E5D09">
        <w:rPr>
          <w:rFonts w:ascii="Arial" w:hAnsi="Arial" w:cs="Arial"/>
          <w:b/>
          <w:bCs/>
          <w:sz w:val="24"/>
          <w:szCs w:val="24"/>
        </w:rPr>
        <w:t xml:space="preserve">A. </w:t>
      </w:r>
      <w:r>
        <w:rPr>
          <w:rFonts w:ascii="Arial" w:hAnsi="Arial" w:cs="Arial"/>
          <w:b/>
          <w:bCs/>
          <w:sz w:val="24"/>
          <w:szCs w:val="24"/>
        </w:rPr>
        <w:t xml:space="preserve"> What does the study tell us?  What does the study not tell us?</w:t>
      </w:r>
      <w:r w:rsidR="00FB72A9">
        <w:rPr>
          <w:rFonts w:ascii="Arial" w:hAnsi="Arial" w:cs="Arial"/>
          <w:b/>
          <w:bCs/>
          <w:sz w:val="24"/>
          <w:szCs w:val="24"/>
        </w:rPr>
        <w:t xml:space="preserve"> Do findings apply to other areas of the state?</w:t>
      </w:r>
    </w:p>
    <w:p w14:paraId="310E5BC2" w14:textId="77777777" w:rsidR="00C37816" w:rsidRDefault="00FB72A9" w:rsidP="003840A5">
      <w:pPr>
        <w:pStyle w:val="Default"/>
        <w:rPr>
          <w:rFonts w:ascii="Arial" w:hAnsi="Arial" w:cs="Arial"/>
        </w:rPr>
      </w:pPr>
      <w:r>
        <w:rPr>
          <w:rFonts w:ascii="Arial" w:hAnsi="Arial" w:cs="Arial"/>
        </w:rPr>
        <w:t xml:space="preserve">This study tells us </w:t>
      </w:r>
      <w:r w:rsidR="0087315B">
        <w:rPr>
          <w:rFonts w:ascii="Arial" w:hAnsi="Arial" w:cs="Arial"/>
        </w:rPr>
        <w:t>average values for</w:t>
      </w:r>
      <w:r>
        <w:rPr>
          <w:rFonts w:ascii="Arial" w:hAnsi="Arial" w:cs="Arial"/>
        </w:rPr>
        <w:t xml:space="preserve"> modeled Forest Observatory</w:t>
      </w:r>
      <w:r w:rsidR="0087315B">
        <w:rPr>
          <w:rFonts w:ascii="Arial" w:hAnsi="Arial" w:cs="Arial"/>
        </w:rPr>
        <w:t xml:space="preserve"> </w:t>
      </w:r>
      <w:r w:rsidR="009C3272">
        <w:rPr>
          <w:rFonts w:ascii="Arial" w:hAnsi="Arial" w:cs="Arial"/>
        </w:rPr>
        <w:t>canopy cover</w:t>
      </w:r>
      <w:r w:rsidR="0087315B">
        <w:rPr>
          <w:rFonts w:ascii="Arial" w:hAnsi="Arial" w:cs="Arial"/>
        </w:rPr>
        <w:t xml:space="preserve"> data (i.e., canopy cover) within and adjacent to </w:t>
      </w:r>
      <w:r w:rsidR="009C3272">
        <w:rPr>
          <w:rFonts w:ascii="Arial" w:hAnsi="Arial" w:cs="Arial"/>
        </w:rPr>
        <w:t xml:space="preserve">treated </w:t>
      </w:r>
      <w:r w:rsidR="0087315B">
        <w:rPr>
          <w:rFonts w:ascii="Arial" w:hAnsi="Arial" w:cs="Arial"/>
        </w:rPr>
        <w:t xml:space="preserve">project areas.  Average values </w:t>
      </w:r>
      <w:r w:rsidR="009C3272">
        <w:rPr>
          <w:rFonts w:ascii="Arial" w:hAnsi="Arial" w:cs="Arial"/>
        </w:rPr>
        <w:t xml:space="preserve">for modeled flame lengths as per the Wildfire Communities at Risk dataset are also presented within and adjacent to treated project areas.  Proportion of area by burn severity class was also calculated within and adjacent to treated project areas.  None of this data was validated with field measurements within the treated areas.  </w:t>
      </w:r>
      <w:r w:rsidR="00C37816">
        <w:rPr>
          <w:rFonts w:ascii="Arial" w:hAnsi="Arial" w:cs="Arial"/>
        </w:rPr>
        <w:t>All data can be obtained publicly.</w:t>
      </w:r>
    </w:p>
    <w:p w14:paraId="34ADA5A7" w14:textId="77777777" w:rsidR="00C37816" w:rsidRDefault="00C37816" w:rsidP="003840A5">
      <w:pPr>
        <w:pStyle w:val="Default"/>
        <w:rPr>
          <w:rFonts w:ascii="Arial" w:hAnsi="Arial" w:cs="Arial"/>
        </w:rPr>
      </w:pPr>
    </w:p>
    <w:p w14:paraId="1E076199" w14:textId="0963FB25" w:rsidR="00127633" w:rsidRDefault="00C37816" w:rsidP="003840A5">
      <w:pPr>
        <w:pStyle w:val="Default"/>
        <w:rPr>
          <w:rFonts w:ascii="Arial" w:hAnsi="Arial" w:cs="Arial"/>
        </w:rPr>
      </w:pPr>
      <w:r>
        <w:rPr>
          <w:rFonts w:ascii="Arial" w:hAnsi="Arial" w:cs="Arial"/>
        </w:rPr>
        <w:t xml:space="preserve">The study tells us nothing about the effectiveness of the Forest Practice Rules (FPRs), primarily because we don’t know the number of projects subject to FPRs and associated regulations.  Furthermore, we do not see a systematic comparison of key metrics (e.g., potential flame length) for areas subject to FPRs versus untreated areas or areas treated through other permitting vehicles.  Generally, effectiveness is not quantitatively related to vegetation type, treatment type, and equipment use.  Maintenance needs </w:t>
      </w:r>
      <w:r w:rsidR="00127633">
        <w:rPr>
          <w:rFonts w:ascii="Arial" w:hAnsi="Arial" w:cs="Arial"/>
        </w:rPr>
        <w:t xml:space="preserve">are gleaned from literature published in 2015 and earlier, with no </w:t>
      </w:r>
      <w:r w:rsidR="00D73D7C">
        <w:rPr>
          <w:rFonts w:ascii="Arial" w:hAnsi="Arial" w:cs="Arial"/>
        </w:rPr>
        <w:t>site-specific</w:t>
      </w:r>
      <w:r w:rsidR="00127633">
        <w:rPr>
          <w:rFonts w:ascii="Arial" w:hAnsi="Arial" w:cs="Arial"/>
        </w:rPr>
        <w:t xml:space="preserve"> quantitative data </w:t>
      </w:r>
      <w:r w:rsidR="00FF6490">
        <w:rPr>
          <w:rFonts w:ascii="Arial" w:hAnsi="Arial" w:cs="Arial"/>
        </w:rPr>
        <w:t xml:space="preserve">within </w:t>
      </w:r>
      <w:r w:rsidR="00127633">
        <w:rPr>
          <w:rFonts w:ascii="Arial" w:hAnsi="Arial" w:cs="Arial"/>
        </w:rPr>
        <w:t xml:space="preserve">or adjacent to the project areas.  </w:t>
      </w:r>
    </w:p>
    <w:p w14:paraId="2A484957" w14:textId="77777777" w:rsidR="00127633" w:rsidRDefault="00127633" w:rsidP="003840A5">
      <w:pPr>
        <w:pStyle w:val="Default"/>
        <w:rPr>
          <w:rFonts w:ascii="Arial" w:hAnsi="Arial" w:cs="Arial"/>
        </w:rPr>
      </w:pPr>
    </w:p>
    <w:p w14:paraId="2F65DE50" w14:textId="34550E6C" w:rsidR="004C3AB0" w:rsidRPr="00FB72A9" w:rsidRDefault="00127633" w:rsidP="003840A5">
      <w:pPr>
        <w:pStyle w:val="Default"/>
        <w:rPr>
          <w:rFonts w:ascii="Arial" w:hAnsi="Arial" w:cs="Arial"/>
        </w:rPr>
      </w:pPr>
      <w:r>
        <w:rPr>
          <w:rFonts w:ascii="Arial" w:hAnsi="Arial" w:cs="Arial"/>
        </w:rPr>
        <w:t xml:space="preserve">Findings do not apply to other areas of the state, because it is difficult to apply qualitative findings to areas that may differ in terms of vegetation types, treatment </w:t>
      </w:r>
      <w:r>
        <w:rPr>
          <w:rFonts w:ascii="Arial" w:hAnsi="Arial" w:cs="Arial"/>
        </w:rPr>
        <w:lastRenderedPageBreak/>
        <w:t xml:space="preserve">constraints, and potential fire behavior.  </w:t>
      </w:r>
      <w:r w:rsidR="008F4CD7">
        <w:rPr>
          <w:rFonts w:ascii="Arial" w:hAnsi="Arial" w:cs="Arial"/>
        </w:rPr>
        <w:t xml:space="preserve">The overreliance on relatively coarse scale remote sensing analysis means that it’s difficult to definitively link specific practices and/or FPRs to modifications in potential fire behavior related to surface, ladder, or crown fuels.  </w:t>
      </w:r>
      <w:r>
        <w:rPr>
          <w:rFonts w:ascii="Arial" w:hAnsi="Arial" w:cs="Arial"/>
        </w:rPr>
        <w:t xml:space="preserve"> </w:t>
      </w:r>
      <w:r w:rsidR="00C37816">
        <w:rPr>
          <w:rFonts w:ascii="Arial" w:hAnsi="Arial" w:cs="Arial"/>
        </w:rPr>
        <w:t xml:space="preserve">   </w:t>
      </w:r>
    </w:p>
    <w:p w14:paraId="3CEF0FAD" w14:textId="77777777" w:rsidR="00FB72A9" w:rsidRDefault="00FB72A9" w:rsidP="003840A5">
      <w:pPr>
        <w:pStyle w:val="Default"/>
        <w:rPr>
          <w:rFonts w:ascii="Arial" w:hAnsi="Arial" w:cs="Arial"/>
          <w:b/>
          <w:bCs/>
        </w:rPr>
      </w:pPr>
    </w:p>
    <w:p w14:paraId="681CA7B8" w14:textId="77777777" w:rsidR="00E3656B" w:rsidRDefault="00E3656B" w:rsidP="00E3656B">
      <w:pPr>
        <w:pStyle w:val="ListParagraph"/>
        <w:numPr>
          <w:ilvl w:val="0"/>
          <w:numId w:val="15"/>
        </w:numPr>
        <w:autoSpaceDE w:val="0"/>
        <w:autoSpaceDN w:val="0"/>
        <w:adjustRightInd w:val="0"/>
        <w:spacing w:after="0" w:line="240" w:lineRule="auto"/>
        <w:rPr>
          <w:rFonts w:ascii="Arial" w:hAnsi="Arial" w:cs="Arial"/>
          <w:b/>
          <w:bCs/>
          <w:noProof/>
          <w:sz w:val="24"/>
          <w:szCs w:val="24"/>
        </w:rPr>
      </w:pPr>
      <w:r>
        <w:rPr>
          <w:rFonts w:ascii="Arial" w:hAnsi="Arial" w:cs="Arial"/>
          <w:b/>
          <w:bCs/>
          <w:noProof/>
          <w:sz w:val="24"/>
          <w:szCs w:val="24"/>
        </w:rPr>
        <w:t xml:space="preserve">More Research Needed? </w:t>
      </w:r>
    </w:p>
    <w:p w14:paraId="2E5B1DD4" w14:textId="106D73AC" w:rsidR="00E3656B" w:rsidRPr="0002535D" w:rsidRDefault="0002535D" w:rsidP="0002535D">
      <w:pPr>
        <w:pStyle w:val="ListParagraph"/>
        <w:numPr>
          <w:ilvl w:val="0"/>
          <w:numId w:val="22"/>
        </w:numPr>
        <w:autoSpaceDE w:val="0"/>
        <w:autoSpaceDN w:val="0"/>
        <w:adjustRightInd w:val="0"/>
        <w:spacing w:after="0" w:line="240" w:lineRule="auto"/>
        <w:rPr>
          <w:rFonts w:ascii="Arial" w:hAnsi="Arial" w:cs="Arial"/>
          <w:noProof/>
          <w:sz w:val="24"/>
          <w:szCs w:val="24"/>
        </w:rPr>
      </w:pPr>
      <w:r>
        <w:rPr>
          <w:rFonts w:ascii="Arial" w:hAnsi="Arial" w:cs="Arial"/>
          <w:b/>
          <w:bCs/>
          <w:noProof/>
          <w:sz w:val="24"/>
          <w:szCs w:val="24"/>
        </w:rPr>
        <w:t xml:space="preserve"> </w:t>
      </w:r>
      <w:r w:rsidR="00E3656B" w:rsidRPr="0002535D">
        <w:rPr>
          <w:rFonts w:ascii="Arial" w:hAnsi="Arial" w:cs="Arial"/>
          <w:b/>
          <w:bCs/>
          <w:noProof/>
          <w:sz w:val="24"/>
          <w:szCs w:val="24"/>
        </w:rPr>
        <w:t xml:space="preserve">Literature Review Sufficient? – </w:t>
      </w:r>
      <w:r w:rsidR="00FF6490">
        <w:rPr>
          <w:rFonts w:ascii="Arial" w:hAnsi="Arial" w:cs="Arial"/>
          <w:b/>
          <w:bCs/>
          <w:noProof/>
          <w:sz w:val="24"/>
          <w:szCs w:val="24"/>
        </w:rPr>
        <w:t xml:space="preserve">Maybe.  </w:t>
      </w:r>
      <w:r w:rsidR="00FF6490" w:rsidRPr="00FF6490">
        <w:rPr>
          <w:rFonts w:ascii="Arial" w:hAnsi="Arial" w:cs="Arial"/>
          <w:noProof/>
          <w:sz w:val="24"/>
          <w:szCs w:val="24"/>
        </w:rPr>
        <w:t>Data from</w:t>
      </w:r>
      <w:r w:rsidR="00FF6490">
        <w:rPr>
          <w:rFonts w:ascii="Arial" w:hAnsi="Arial" w:cs="Arial"/>
          <w:b/>
          <w:bCs/>
          <w:noProof/>
          <w:sz w:val="24"/>
          <w:szCs w:val="24"/>
        </w:rPr>
        <w:t xml:space="preserve"> </w:t>
      </w:r>
      <w:r w:rsidR="00FF6490">
        <w:rPr>
          <w:rFonts w:ascii="Arial" w:hAnsi="Arial" w:cs="Arial"/>
          <w:noProof/>
          <w:sz w:val="24"/>
          <w:szCs w:val="24"/>
        </w:rPr>
        <w:t xml:space="preserve">cited works are often times substituted for data that was supposed to be collected in the original scope of work. </w:t>
      </w:r>
    </w:p>
    <w:p w14:paraId="5DA21C0E" w14:textId="477D4920" w:rsidR="0002535D" w:rsidRDefault="00E3656B" w:rsidP="00E3656B">
      <w:pPr>
        <w:pStyle w:val="ListParagraph"/>
        <w:numPr>
          <w:ilvl w:val="0"/>
          <w:numId w:val="22"/>
        </w:numPr>
        <w:rPr>
          <w:rFonts w:ascii="Arial" w:hAnsi="Arial" w:cs="Arial"/>
          <w:noProof/>
          <w:sz w:val="24"/>
          <w:szCs w:val="24"/>
        </w:rPr>
      </w:pPr>
      <w:r w:rsidRPr="0002535D">
        <w:rPr>
          <w:rFonts w:ascii="Arial" w:hAnsi="Arial" w:cs="Arial"/>
          <w:b/>
          <w:bCs/>
          <w:noProof/>
          <w:sz w:val="24"/>
          <w:szCs w:val="24"/>
        </w:rPr>
        <w:t xml:space="preserve">Further Funding Needed?  - </w:t>
      </w:r>
      <w:r w:rsidR="00D73D7C">
        <w:rPr>
          <w:rFonts w:ascii="Arial" w:hAnsi="Arial" w:cs="Arial"/>
          <w:b/>
          <w:bCs/>
          <w:noProof/>
          <w:sz w:val="24"/>
          <w:szCs w:val="24"/>
        </w:rPr>
        <w:t>Not for this study</w:t>
      </w:r>
      <w:r w:rsidRPr="0002535D">
        <w:rPr>
          <w:rFonts w:ascii="Arial" w:hAnsi="Arial" w:cs="Arial"/>
          <w:b/>
          <w:bCs/>
          <w:noProof/>
          <w:sz w:val="24"/>
          <w:szCs w:val="24"/>
        </w:rPr>
        <w:t>.</w:t>
      </w:r>
      <w:r w:rsidRPr="0002535D">
        <w:rPr>
          <w:rFonts w:ascii="Arial" w:hAnsi="Arial" w:cs="Arial"/>
          <w:noProof/>
          <w:sz w:val="24"/>
          <w:szCs w:val="24"/>
        </w:rPr>
        <w:t xml:space="preserve">  </w:t>
      </w:r>
      <w:r w:rsidR="00FF6490">
        <w:rPr>
          <w:rFonts w:ascii="Arial" w:hAnsi="Arial" w:cs="Arial"/>
          <w:noProof/>
          <w:sz w:val="24"/>
          <w:szCs w:val="24"/>
        </w:rPr>
        <w:t>Since this study was unable to answer the majority of questions posed in the original scope of work</w:t>
      </w:r>
      <w:r w:rsidR="00D73D7C">
        <w:rPr>
          <w:rFonts w:ascii="Arial" w:hAnsi="Arial" w:cs="Arial"/>
          <w:noProof/>
          <w:sz w:val="24"/>
          <w:szCs w:val="24"/>
        </w:rPr>
        <w:t xml:space="preserve">, the committee should not allocate more funding for this work.  </w:t>
      </w:r>
      <w:r w:rsidR="00FF6490">
        <w:rPr>
          <w:rFonts w:ascii="Arial" w:hAnsi="Arial" w:cs="Arial"/>
          <w:noProof/>
          <w:sz w:val="24"/>
          <w:szCs w:val="24"/>
        </w:rPr>
        <w:t xml:space="preserve"> </w:t>
      </w:r>
      <w:r w:rsidRPr="0002535D">
        <w:rPr>
          <w:rFonts w:ascii="Arial" w:hAnsi="Arial" w:cs="Arial"/>
          <w:noProof/>
          <w:sz w:val="24"/>
          <w:szCs w:val="24"/>
        </w:rPr>
        <w:t xml:space="preserve">  </w:t>
      </w:r>
    </w:p>
    <w:p w14:paraId="7FE864CC" w14:textId="77777777" w:rsidR="0002535D" w:rsidRDefault="0002535D" w:rsidP="00E3656B">
      <w:pPr>
        <w:pStyle w:val="ListParagraph"/>
        <w:numPr>
          <w:ilvl w:val="0"/>
          <w:numId w:val="22"/>
        </w:numPr>
        <w:rPr>
          <w:rFonts w:ascii="Arial" w:hAnsi="Arial" w:cs="Arial"/>
          <w:noProof/>
          <w:sz w:val="24"/>
          <w:szCs w:val="24"/>
        </w:rPr>
      </w:pPr>
      <w:r>
        <w:rPr>
          <w:rFonts w:ascii="Arial" w:hAnsi="Arial" w:cs="Arial"/>
          <w:b/>
          <w:bCs/>
          <w:noProof/>
          <w:sz w:val="24"/>
          <w:szCs w:val="24"/>
        </w:rPr>
        <w:t>What is the relationship between this study and any others that may be planned, underway, or recently completed?</w:t>
      </w:r>
    </w:p>
    <w:p w14:paraId="1C038A0A" w14:textId="6644727F" w:rsidR="0002535D" w:rsidRPr="0002535D" w:rsidRDefault="0002535D" w:rsidP="0002535D">
      <w:pPr>
        <w:pStyle w:val="ListParagraph"/>
        <w:numPr>
          <w:ilvl w:val="1"/>
          <w:numId w:val="22"/>
        </w:numPr>
        <w:rPr>
          <w:rFonts w:ascii="Arial" w:hAnsi="Arial" w:cs="Arial"/>
          <w:noProof/>
          <w:sz w:val="24"/>
          <w:szCs w:val="24"/>
        </w:rPr>
      </w:pPr>
      <w:r w:rsidRPr="0002535D">
        <w:rPr>
          <w:rFonts w:ascii="Arial" w:hAnsi="Arial" w:cs="Arial"/>
          <w:b/>
          <w:bCs/>
          <w:noProof/>
          <w:sz w:val="24"/>
          <w:szCs w:val="24"/>
        </w:rPr>
        <w:t>Feasibility of obtaining more information to better inform policy about resource efforts</w:t>
      </w:r>
      <w:r>
        <w:rPr>
          <w:rFonts w:ascii="Arial" w:hAnsi="Arial" w:cs="Arial"/>
          <w:b/>
          <w:bCs/>
          <w:noProof/>
          <w:sz w:val="24"/>
          <w:szCs w:val="24"/>
        </w:rPr>
        <w:t xml:space="preserve"> – </w:t>
      </w:r>
      <w:r w:rsidR="001A0E3A">
        <w:rPr>
          <w:rFonts w:ascii="Arial" w:hAnsi="Arial" w:cs="Arial"/>
          <w:noProof/>
          <w:sz w:val="24"/>
          <w:szCs w:val="24"/>
        </w:rPr>
        <w:t>It is feasible to obtain more information through the implementation of studies with more field-based measurements.  While remote sensing based studies can answer a myriad of questions, determining the effectiveness</w:t>
      </w:r>
      <w:r w:rsidR="000515CB">
        <w:rPr>
          <w:rFonts w:ascii="Arial" w:hAnsi="Arial" w:cs="Arial"/>
          <w:noProof/>
          <w:sz w:val="24"/>
          <w:szCs w:val="24"/>
        </w:rPr>
        <w:t xml:space="preserve"> of specific operational provisions and requirement of FPRs ultimately requires </w:t>
      </w:r>
      <w:r w:rsidR="009210A8">
        <w:rPr>
          <w:rFonts w:ascii="Arial" w:hAnsi="Arial" w:cs="Arial"/>
          <w:noProof/>
          <w:sz w:val="24"/>
          <w:szCs w:val="24"/>
        </w:rPr>
        <w:t xml:space="preserve">some </w:t>
      </w:r>
      <w:r w:rsidR="000515CB">
        <w:rPr>
          <w:rFonts w:ascii="Arial" w:hAnsi="Arial" w:cs="Arial"/>
          <w:noProof/>
          <w:sz w:val="24"/>
          <w:szCs w:val="24"/>
        </w:rPr>
        <w:t>field</w:t>
      </w:r>
      <w:r w:rsidR="009210A8">
        <w:rPr>
          <w:rFonts w:ascii="Arial" w:hAnsi="Arial" w:cs="Arial"/>
          <w:noProof/>
          <w:sz w:val="24"/>
          <w:szCs w:val="24"/>
        </w:rPr>
        <w:t xml:space="preserve"> </w:t>
      </w:r>
      <w:r w:rsidR="000515CB">
        <w:rPr>
          <w:rFonts w:ascii="Arial" w:hAnsi="Arial" w:cs="Arial"/>
          <w:noProof/>
          <w:sz w:val="24"/>
          <w:szCs w:val="24"/>
        </w:rPr>
        <w:t xml:space="preserve"> validation.  In general, no data from field validation is presented in this report except for qualitative statements.  </w:t>
      </w:r>
      <w:r w:rsidR="001A0E3A">
        <w:rPr>
          <w:rFonts w:ascii="Arial" w:hAnsi="Arial" w:cs="Arial"/>
          <w:noProof/>
          <w:sz w:val="24"/>
          <w:szCs w:val="24"/>
        </w:rPr>
        <w:t xml:space="preserve"> </w:t>
      </w:r>
      <w:r>
        <w:rPr>
          <w:rFonts w:ascii="Arial" w:hAnsi="Arial" w:cs="Arial"/>
          <w:noProof/>
          <w:sz w:val="24"/>
          <w:szCs w:val="24"/>
        </w:rPr>
        <w:t xml:space="preserve">  </w:t>
      </w:r>
    </w:p>
    <w:p w14:paraId="3A0E7E13" w14:textId="77777777" w:rsidR="009805CD" w:rsidRDefault="00BE63BF" w:rsidP="0002535D">
      <w:pPr>
        <w:pStyle w:val="ListParagraph"/>
        <w:numPr>
          <w:ilvl w:val="1"/>
          <w:numId w:val="22"/>
        </w:numPr>
        <w:rPr>
          <w:rFonts w:ascii="Arial" w:hAnsi="Arial" w:cs="Arial"/>
          <w:noProof/>
          <w:sz w:val="24"/>
          <w:szCs w:val="24"/>
        </w:rPr>
      </w:pPr>
      <w:r w:rsidRPr="007B0F9C">
        <w:rPr>
          <w:rFonts w:ascii="Arial" w:hAnsi="Arial" w:cs="Arial"/>
          <w:b/>
          <w:bCs/>
          <w:noProof/>
          <w:sz w:val="24"/>
          <w:szCs w:val="24"/>
        </w:rPr>
        <w:t>Are other relevant studies planned, underway, or recently completed? (If yes, what are they?</w:t>
      </w:r>
      <w:r w:rsidRPr="007B0F9C">
        <w:rPr>
          <w:rFonts w:ascii="Calibri" w:hAnsi="Calibri" w:cs="Calibri"/>
          <w:color w:val="000000"/>
        </w:rPr>
        <w:t xml:space="preserve"> </w:t>
      </w:r>
      <w:r w:rsidR="000515CB">
        <w:rPr>
          <w:rFonts w:ascii="Arial" w:hAnsi="Arial" w:cs="Arial"/>
          <w:noProof/>
          <w:sz w:val="24"/>
          <w:szCs w:val="24"/>
        </w:rPr>
        <w:t xml:space="preserve">CAL FIRE’s Watershed Protection Program has released three monitoring reports on </w:t>
      </w:r>
      <w:r w:rsidR="009805CD">
        <w:rPr>
          <w:rFonts w:ascii="Arial" w:hAnsi="Arial" w:cs="Arial"/>
          <w:noProof/>
          <w:sz w:val="24"/>
          <w:szCs w:val="24"/>
        </w:rPr>
        <w:t>Exemptions related to fire hazard reduction</w:t>
      </w:r>
      <w:r w:rsidR="00E3656B" w:rsidRPr="0002535D">
        <w:rPr>
          <w:rFonts w:ascii="Arial" w:hAnsi="Arial" w:cs="Arial"/>
          <w:noProof/>
          <w:sz w:val="24"/>
          <w:szCs w:val="24"/>
        </w:rPr>
        <w:t xml:space="preserve">.   </w:t>
      </w:r>
      <w:r w:rsidR="009805CD">
        <w:rPr>
          <w:rFonts w:ascii="Arial" w:hAnsi="Arial" w:cs="Arial"/>
          <w:noProof/>
          <w:sz w:val="24"/>
          <w:szCs w:val="24"/>
        </w:rPr>
        <w:t>This includes reports on the:</w:t>
      </w:r>
    </w:p>
    <w:p w14:paraId="42EF401A" w14:textId="702DFC07" w:rsidR="009805CD" w:rsidRDefault="009805CD" w:rsidP="009805CD">
      <w:pPr>
        <w:pStyle w:val="ListParagraph"/>
        <w:numPr>
          <w:ilvl w:val="2"/>
          <w:numId w:val="22"/>
        </w:numPr>
        <w:rPr>
          <w:rFonts w:ascii="Arial" w:hAnsi="Arial" w:cs="Arial"/>
          <w:noProof/>
          <w:sz w:val="24"/>
          <w:szCs w:val="24"/>
        </w:rPr>
      </w:pPr>
      <w:r>
        <w:rPr>
          <w:rFonts w:ascii="Arial" w:hAnsi="Arial" w:cs="Arial"/>
          <w:noProof/>
          <w:sz w:val="24"/>
          <w:szCs w:val="24"/>
        </w:rPr>
        <w:t>§ 1038 (c) – 0 to 150 foot structure protection exemption</w:t>
      </w:r>
      <w:r w:rsidR="009210A8">
        <w:rPr>
          <w:rFonts w:ascii="Arial" w:hAnsi="Arial" w:cs="Arial"/>
          <w:noProof/>
          <w:sz w:val="24"/>
          <w:szCs w:val="24"/>
        </w:rPr>
        <w:t xml:space="preserve"> (Olsen and Coe, 2021)</w:t>
      </w:r>
      <w:r>
        <w:rPr>
          <w:rFonts w:ascii="Arial" w:hAnsi="Arial" w:cs="Arial"/>
          <w:noProof/>
          <w:sz w:val="24"/>
          <w:szCs w:val="24"/>
        </w:rPr>
        <w:t>;</w:t>
      </w:r>
    </w:p>
    <w:p w14:paraId="12A5E695" w14:textId="0040CF97" w:rsidR="009805CD" w:rsidRDefault="009805CD" w:rsidP="009805CD">
      <w:pPr>
        <w:pStyle w:val="ListParagraph"/>
        <w:numPr>
          <w:ilvl w:val="2"/>
          <w:numId w:val="22"/>
        </w:numPr>
        <w:rPr>
          <w:rFonts w:ascii="Arial" w:hAnsi="Arial" w:cs="Arial"/>
          <w:noProof/>
          <w:sz w:val="24"/>
          <w:szCs w:val="24"/>
        </w:rPr>
      </w:pPr>
      <w:r>
        <w:rPr>
          <w:rFonts w:ascii="Arial" w:hAnsi="Arial" w:cs="Arial"/>
          <w:noProof/>
          <w:sz w:val="24"/>
          <w:szCs w:val="24"/>
        </w:rPr>
        <w:t>§ 1038 (c)(6) – fire hazard reduction within 300 feet of residences exemption</w:t>
      </w:r>
      <w:r w:rsidR="009210A8">
        <w:rPr>
          <w:rFonts w:ascii="Arial" w:hAnsi="Arial" w:cs="Arial"/>
          <w:noProof/>
          <w:sz w:val="24"/>
          <w:szCs w:val="24"/>
        </w:rPr>
        <w:t xml:space="preserve"> (Olsen and Coe, 2021b)</w:t>
      </w:r>
      <w:r>
        <w:rPr>
          <w:rFonts w:ascii="Arial" w:hAnsi="Arial" w:cs="Arial"/>
          <w:noProof/>
          <w:sz w:val="24"/>
          <w:szCs w:val="24"/>
        </w:rPr>
        <w:t>;</w:t>
      </w:r>
      <w:r w:rsidR="009210A8">
        <w:rPr>
          <w:rFonts w:ascii="Arial" w:hAnsi="Arial" w:cs="Arial"/>
          <w:noProof/>
          <w:sz w:val="24"/>
          <w:szCs w:val="24"/>
        </w:rPr>
        <w:t xml:space="preserve"> and </w:t>
      </w:r>
    </w:p>
    <w:p w14:paraId="252FDD81" w14:textId="437315AE" w:rsidR="00A7424D" w:rsidRDefault="009805CD" w:rsidP="009805CD">
      <w:pPr>
        <w:pStyle w:val="ListParagraph"/>
        <w:numPr>
          <w:ilvl w:val="2"/>
          <w:numId w:val="22"/>
        </w:numPr>
        <w:rPr>
          <w:rFonts w:ascii="Arial" w:hAnsi="Arial" w:cs="Arial"/>
          <w:noProof/>
          <w:sz w:val="24"/>
          <w:szCs w:val="24"/>
        </w:rPr>
      </w:pPr>
      <w:r>
        <w:rPr>
          <w:rFonts w:ascii="Arial" w:hAnsi="Arial" w:cs="Arial"/>
          <w:noProof/>
          <w:sz w:val="24"/>
          <w:szCs w:val="24"/>
        </w:rPr>
        <w:t>§ 1038</w:t>
      </w:r>
      <w:r w:rsidR="00A7424D">
        <w:rPr>
          <w:rFonts w:ascii="Arial" w:hAnsi="Arial" w:cs="Arial"/>
          <w:noProof/>
          <w:sz w:val="24"/>
          <w:szCs w:val="24"/>
        </w:rPr>
        <w:t xml:space="preserve">.3 </w:t>
      </w:r>
      <w:r>
        <w:rPr>
          <w:rFonts w:ascii="Arial" w:hAnsi="Arial" w:cs="Arial"/>
          <w:noProof/>
          <w:sz w:val="24"/>
          <w:szCs w:val="24"/>
        </w:rPr>
        <w:t>– Forest Fire Prevention Exemption</w:t>
      </w:r>
      <w:r w:rsidR="009210A8">
        <w:rPr>
          <w:rFonts w:ascii="Arial" w:hAnsi="Arial" w:cs="Arial"/>
          <w:noProof/>
          <w:sz w:val="24"/>
          <w:szCs w:val="24"/>
        </w:rPr>
        <w:t xml:space="preserve"> (Olsen and Coe, 2022).</w:t>
      </w:r>
      <w:r>
        <w:rPr>
          <w:rFonts w:ascii="Arial" w:hAnsi="Arial" w:cs="Arial"/>
          <w:noProof/>
          <w:sz w:val="24"/>
          <w:szCs w:val="24"/>
        </w:rPr>
        <w:t xml:space="preserve"> </w:t>
      </w:r>
    </w:p>
    <w:p w14:paraId="2BEFE178" w14:textId="54E54374" w:rsidR="00BE63BF" w:rsidRDefault="00A7424D" w:rsidP="00A7424D">
      <w:pPr>
        <w:ind w:left="1080"/>
        <w:rPr>
          <w:rFonts w:ascii="Arial" w:hAnsi="Arial" w:cs="Arial"/>
          <w:noProof/>
          <w:sz w:val="24"/>
          <w:szCs w:val="24"/>
        </w:rPr>
      </w:pPr>
      <w:r>
        <w:rPr>
          <w:rFonts w:ascii="Arial" w:hAnsi="Arial" w:cs="Arial"/>
          <w:noProof/>
          <w:sz w:val="24"/>
          <w:szCs w:val="24"/>
        </w:rPr>
        <w:t xml:space="preserve">All three studies employed </w:t>
      </w:r>
      <w:r w:rsidR="00D73D7C">
        <w:rPr>
          <w:rFonts w:ascii="Arial" w:hAnsi="Arial" w:cs="Arial"/>
          <w:noProof/>
          <w:sz w:val="24"/>
          <w:szCs w:val="24"/>
        </w:rPr>
        <w:t>probabilistic</w:t>
      </w:r>
      <w:r>
        <w:rPr>
          <w:rFonts w:ascii="Arial" w:hAnsi="Arial" w:cs="Arial"/>
          <w:noProof/>
          <w:sz w:val="24"/>
          <w:szCs w:val="24"/>
        </w:rPr>
        <w:t xml:space="preserve"> sampling along with </w:t>
      </w:r>
      <w:r w:rsidR="00D73D7C">
        <w:rPr>
          <w:rFonts w:ascii="Arial" w:hAnsi="Arial" w:cs="Arial"/>
          <w:noProof/>
          <w:sz w:val="24"/>
          <w:szCs w:val="24"/>
        </w:rPr>
        <w:t xml:space="preserve">systematic and objective </w:t>
      </w:r>
      <w:r>
        <w:rPr>
          <w:rFonts w:ascii="Arial" w:hAnsi="Arial" w:cs="Arial"/>
          <w:noProof/>
          <w:sz w:val="24"/>
          <w:szCs w:val="24"/>
        </w:rPr>
        <w:t>field-based measurements of surface, ladder, and crown fuels.</w:t>
      </w:r>
      <w:r w:rsidR="000E0A36">
        <w:rPr>
          <w:rFonts w:ascii="Arial" w:hAnsi="Arial" w:cs="Arial"/>
          <w:noProof/>
          <w:sz w:val="24"/>
          <w:szCs w:val="24"/>
        </w:rPr>
        <w:t xml:space="preserve">  As such, they provide a quantitative assessment of </w:t>
      </w:r>
      <w:r w:rsidR="00082774">
        <w:rPr>
          <w:rFonts w:ascii="Arial" w:hAnsi="Arial" w:cs="Arial"/>
          <w:noProof/>
          <w:sz w:val="24"/>
          <w:szCs w:val="24"/>
        </w:rPr>
        <w:t>effectiveness for fuel treatment practices required under the Forest Practice Rules</w:t>
      </w:r>
      <w:r w:rsidR="000E0A36">
        <w:rPr>
          <w:rFonts w:ascii="Arial" w:hAnsi="Arial" w:cs="Arial"/>
          <w:noProof/>
          <w:sz w:val="24"/>
          <w:szCs w:val="24"/>
        </w:rPr>
        <w:t>.</w:t>
      </w:r>
      <w:r>
        <w:rPr>
          <w:rFonts w:ascii="Arial" w:hAnsi="Arial" w:cs="Arial"/>
          <w:noProof/>
          <w:sz w:val="24"/>
          <w:szCs w:val="24"/>
        </w:rPr>
        <w:t xml:space="preserve"> </w:t>
      </w:r>
    </w:p>
    <w:p w14:paraId="39E08152" w14:textId="6349F1D7" w:rsidR="004058C0" w:rsidRPr="004058C0" w:rsidRDefault="001856AD" w:rsidP="004058C0">
      <w:pPr>
        <w:ind w:left="1080"/>
        <w:rPr>
          <w:rFonts w:ascii="Arial" w:hAnsi="Arial" w:cs="Arial"/>
          <w:noProof/>
          <w:sz w:val="24"/>
          <w:szCs w:val="24"/>
        </w:rPr>
      </w:pPr>
      <w:r>
        <w:rPr>
          <w:rFonts w:ascii="Arial" w:hAnsi="Arial" w:cs="Arial"/>
          <w:noProof/>
          <w:sz w:val="24"/>
          <w:szCs w:val="24"/>
        </w:rPr>
        <w:t>In addition, there are several EMC-funded studies directly and/or indirectly related to the effectiveness of the FPRs for fuel</w:t>
      </w:r>
      <w:r w:rsidR="004058C0">
        <w:rPr>
          <w:rFonts w:ascii="Arial" w:hAnsi="Arial" w:cs="Arial"/>
          <w:noProof/>
          <w:sz w:val="24"/>
          <w:szCs w:val="24"/>
        </w:rPr>
        <w:t>s</w:t>
      </w:r>
      <w:r>
        <w:rPr>
          <w:rFonts w:ascii="Arial" w:hAnsi="Arial" w:cs="Arial"/>
          <w:noProof/>
          <w:sz w:val="24"/>
          <w:szCs w:val="24"/>
        </w:rPr>
        <w:t>-related treatments.  Th</w:t>
      </w:r>
      <w:r w:rsidR="004058C0">
        <w:rPr>
          <w:rFonts w:ascii="Arial" w:hAnsi="Arial" w:cs="Arial"/>
          <w:noProof/>
          <w:sz w:val="24"/>
          <w:szCs w:val="24"/>
        </w:rPr>
        <w:t>is</w:t>
      </w:r>
      <w:r>
        <w:rPr>
          <w:rFonts w:ascii="Arial" w:hAnsi="Arial" w:cs="Arial"/>
          <w:noProof/>
          <w:sz w:val="24"/>
          <w:szCs w:val="24"/>
        </w:rPr>
        <w:t xml:space="preserve"> include</w:t>
      </w:r>
      <w:r w:rsidR="004058C0">
        <w:rPr>
          <w:rFonts w:ascii="Arial" w:hAnsi="Arial" w:cs="Arial"/>
          <w:noProof/>
          <w:sz w:val="24"/>
          <w:szCs w:val="24"/>
        </w:rPr>
        <w:t xml:space="preserve">s </w:t>
      </w:r>
      <w:r w:rsidR="004058C0" w:rsidRPr="004058C0">
        <w:rPr>
          <w:rFonts w:ascii="Arial" w:hAnsi="Arial" w:cs="Arial"/>
          <w:noProof/>
          <w:sz w:val="24"/>
          <w:szCs w:val="24"/>
        </w:rPr>
        <w:t>EMC-2022-005</w:t>
      </w:r>
      <w:r w:rsidR="004058C0">
        <w:rPr>
          <w:rFonts w:ascii="Arial" w:hAnsi="Arial" w:cs="Arial"/>
          <w:noProof/>
          <w:sz w:val="24"/>
          <w:szCs w:val="24"/>
        </w:rPr>
        <w:t>, titled</w:t>
      </w:r>
      <w:r w:rsidR="004058C0" w:rsidRPr="004058C0">
        <w:rPr>
          <w:rFonts w:ascii="Arial" w:hAnsi="Arial" w:cs="Arial"/>
          <w:noProof/>
          <w:sz w:val="24"/>
          <w:szCs w:val="24"/>
        </w:rPr>
        <w:t xml:space="preserve"> </w:t>
      </w:r>
      <w:r w:rsidR="004058C0">
        <w:rPr>
          <w:rFonts w:ascii="Arial" w:hAnsi="Arial" w:cs="Arial"/>
          <w:noProof/>
          <w:sz w:val="24"/>
          <w:szCs w:val="24"/>
        </w:rPr>
        <w:t>“</w:t>
      </w:r>
      <w:r w:rsidR="004058C0" w:rsidRPr="004058C0">
        <w:rPr>
          <w:rFonts w:ascii="Arial" w:hAnsi="Arial" w:cs="Arial"/>
          <w:noProof/>
          <w:sz w:val="24"/>
          <w:szCs w:val="24"/>
        </w:rPr>
        <w:t>Decay Rates and Fire Behavior of Wood Debris in Coastal Redwoods</w:t>
      </w:r>
      <w:r w:rsidR="004058C0">
        <w:rPr>
          <w:rFonts w:ascii="Arial" w:hAnsi="Arial" w:cs="Arial"/>
          <w:noProof/>
          <w:sz w:val="24"/>
          <w:szCs w:val="24"/>
        </w:rPr>
        <w:t>.”  There are also two EMC projects that look at the consequence of fuels treatments on the response of native pollinators (EMC-2021-003) and on the water balance (EMC-2019-003)</w:t>
      </w:r>
    </w:p>
    <w:p w14:paraId="7C97E9B4" w14:textId="3CB1623B" w:rsidR="00BE63BF" w:rsidRPr="004D35CE" w:rsidRDefault="00BE63BF" w:rsidP="0002535D">
      <w:pPr>
        <w:pStyle w:val="ListParagraph"/>
        <w:numPr>
          <w:ilvl w:val="1"/>
          <w:numId w:val="22"/>
        </w:numPr>
        <w:rPr>
          <w:rFonts w:ascii="Arial" w:hAnsi="Arial" w:cs="Arial"/>
          <w:b/>
          <w:bCs/>
          <w:noProof/>
          <w:sz w:val="24"/>
          <w:szCs w:val="24"/>
        </w:rPr>
      </w:pPr>
      <w:r w:rsidRPr="00F44D53">
        <w:rPr>
          <w:rFonts w:ascii="Arial" w:hAnsi="Arial" w:cs="Arial"/>
          <w:b/>
          <w:bCs/>
          <w:noProof/>
          <w:sz w:val="24"/>
          <w:szCs w:val="24"/>
        </w:rPr>
        <w:t xml:space="preserve">What are the costs associated with additional studies?  </w:t>
      </w:r>
      <w:r w:rsidR="004058C0">
        <w:rPr>
          <w:rFonts w:ascii="Arial" w:hAnsi="Arial" w:cs="Arial"/>
          <w:noProof/>
          <w:sz w:val="24"/>
          <w:szCs w:val="24"/>
        </w:rPr>
        <w:t xml:space="preserve">These studies mentioned above are or have been funded </w:t>
      </w:r>
      <w:r w:rsidR="001C4DC3">
        <w:rPr>
          <w:rFonts w:ascii="Arial" w:hAnsi="Arial" w:cs="Arial"/>
          <w:noProof/>
          <w:sz w:val="24"/>
          <w:szCs w:val="24"/>
        </w:rPr>
        <w:t>for $696,453.</w:t>
      </w:r>
    </w:p>
    <w:p w14:paraId="4C953B47" w14:textId="02B3D85E" w:rsidR="008541A2" w:rsidRDefault="008541A2" w:rsidP="0002535D">
      <w:pPr>
        <w:pStyle w:val="ListParagraph"/>
        <w:numPr>
          <w:ilvl w:val="1"/>
          <w:numId w:val="22"/>
        </w:numPr>
        <w:rPr>
          <w:rFonts w:ascii="Arial" w:hAnsi="Arial" w:cs="Arial"/>
          <w:noProof/>
          <w:sz w:val="24"/>
          <w:szCs w:val="24"/>
        </w:rPr>
      </w:pPr>
      <w:r w:rsidRPr="007B0F9C">
        <w:rPr>
          <w:rFonts w:ascii="Arial" w:hAnsi="Arial" w:cs="Arial"/>
          <w:b/>
          <w:bCs/>
          <w:noProof/>
          <w:sz w:val="24"/>
          <w:szCs w:val="24"/>
        </w:rPr>
        <w:lastRenderedPageBreak/>
        <w:t>What will additional studies help us learn?</w:t>
      </w:r>
      <w:r>
        <w:rPr>
          <w:rFonts w:ascii="Arial" w:hAnsi="Arial" w:cs="Arial"/>
          <w:b/>
          <w:bCs/>
          <w:noProof/>
          <w:sz w:val="24"/>
          <w:szCs w:val="24"/>
        </w:rPr>
        <w:t xml:space="preserve">  </w:t>
      </w:r>
      <w:r w:rsidR="001C4DC3">
        <w:rPr>
          <w:rFonts w:ascii="Arial" w:hAnsi="Arial" w:cs="Arial"/>
          <w:noProof/>
          <w:sz w:val="24"/>
          <w:szCs w:val="24"/>
        </w:rPr>
        <w:t>EMC-2022-005 is poised to tell us ab</w:t>
      </w:r>
      <w:r w:rsidR="00D73D7C">
        <w:rPr>
          <w:rFonts w:ascii="Arial" w:hAnsi="Arial" w:cs="Arial"/>
          <w:noProof/>
          <w:sz w:val="24"/>
          <w:szCs w:val="24"/>
        </w:rPr>
        <w:t>ou</w:t>
      </w:r>
      <w:r w:rsidR="001C4DC3">
        <w:rPr>
          <w:rFonts w:ascii="Arial" w:hAnsi="Arial" w:cs="Arial"/>
          <w:noProof/>
          <w:sz w:val="24"/>
          <w:szCs w:val="24"/>
        </w:rPr>
        <w:t>t the potential fire behavior for lopped and scattered slash, as the well as how wood decay can affect potential fire behavior over time.  This is a relevant topic for the coastal redwood and Douglas fir belt, given that monitoring for the Forest Fire Prevention Exemption indicated th</w:t>
      </w:r>
      <w:r w:rsidR="00AB34D9">
        <w:rPr>
          <w:rFonts w:ascii="Arial" w:hAnsi="Arial" w:cs="Arial"/>
          <w:noProof/>
          <w:sz w:val="24"/>
          <w:szCs w:val="24"/>
        </w:rPr>
        <w:t>e challenge of slash management in these high</w:t>
      </w:r>
      <w:r w:rsidR="00D73D7C">
        <w:rPr>
          <w:rFonts w:ascii="Arial" w:hAnsi="Arial" w:cs="Arial"/>
          <w:noProof/>
          <w:sz w:val="24"/>
          <w:szCs w:val="24"/>
        </w:rPr>
        <w:t>er</w:t>
      </w:r>
      <w:r w:rsidR="00AB34D9">
        <w:rPr>
          <w:rFonts w:ascii="Arial" w:hAnsi="Arial" w:cs="Arial"/>
          <w:noProof/>
          <w:sz w:val="24"/>
          <w:szCs w:val="24"/>
        </w:rPr>
        <w:t xml:space="preserve"> biomass forest types.  </w:t>
      </w:r>
      <w:r w:rsidR="001C4DC3">
        <w:rPr>
          <w:rFonts w:ascii="Arial" w:hAnsi="Arial" w:cs="Arial"/>
          <w:noProof/>
          <w:sz w:val="24"/>
          <w:szCs w:val="24"/>
        </w:rPr>
        <w:t xml:space="preserve">  </w:t>
      </w:r>
    </w:p>
    <w:p w14:paraId="64F5434F" w14:textId="00F56280" w:rsidR="00E3656B" w:rsidRDefault="008541A2" w:rsidP="0002535D">
      <w:pPr>
        <w:pStyle w:val="ListParagraph"/>
        <w:numPr>
          <w:ilvl w:val="1"/>
          <w:numId w:val="22"/>
        </w:numPr>
        <w:rPr>
          <w:rFonts w:ascii="Arial" w:hAnsi="Arial" w:cs="Arial"/>
          <w:noProof/>
          <w:sz w:val="24"/>
          <w:szCs w:val="24"/>
        </w:rPr>
      </w:pPr>
      <w:r w:rsidRPr="007B0F9C">
        <w:rPr>
          <w:rFonts w:ascii="Arial" w:hAnsi="Arial" w:cs="Arial"/>
          <w:b/>
          <w:bCs/>
          <w:noProof/>
          <w:sz w:val="24"/>
          <w:szCs w:val="24"/>
        </w:rPr>
        <w:t>When will these additional studies be completed (i.e., when will we learn the information)?</w:t>
      </w:r>
      <w:r w:rsidRPr="007B0F9C">
        <w:rPr>
          <w:rFonts w:ascii="Calibri" w:hAnsi="Calibri" w:cs="Calibri"/>
          <w:color w:val="000000"/>
        </w:rPr>
        <w:t xml:space="preserve"> </w:t>
      </w:r>
      <w:r w:rsidR="003A4F59">
        <w:rPr>
          <w:rFonts w:ascii="Arial" w:hAnsi="Arial" w:cs="Arial"/>
          <w:noProof/>
          <w:sz w:val="24"/>
          <w:szCs w:val="24"/>
        </w:rPr>
        <w:t>T</w:t>
      </w:r>
      <w:r w:rsidR="00E3656B" w:rsidRPr="0002535D">
        <w:rPr>
          <w:rFonts w:ascii="Arial" w:hAnsi="Arial" w:cs="Arial"/>
          <w:noProof/>
          <w:sz w:val="24"/>
          <w:szCs w:val="24"/>
        </w:rPr>
        <w:t>he results of EMC-2</w:t>
      </w:r>
      <w:r w:rsidR="000E7845">
        <w:rPr>
          <w:rFonts w:ascii="Arial" w:hAnsi="Arial" w:cs="Arial"/>
          <w:noProof/>
          <w:sz w:val="24"/>
          <w:szCs w:val="24"/>
        </w:rPr>
        <w:t>022</w:t>
      </w:r>
      <w:r w:rsidR="00E3656B" w:rsidRPr="0002535D">
        <w:rPr>
          <w:rFonts w:ascii="Arial" w:hAnsi="Arial" w:cs="Arial"/>
          <w:noProof/>
          <w:sz w:val="24"/>
          <w:szCs w:val="24"/>
        </w:rPr>
        <w:t>-00</w:t>
      </w:r>
      <w:r w:rsidR="000E7845">
        <w:rPr>
          <w:rFonts w:ascii="Arial" w:hAnsi="Arial" w:cs="Arial"/>
          <w:noProof/>
          <w:sz w:val="24"/>
          <w:szCs w:val="24"/>
        </w:rPr>
        <w:t>5</w:t>
      </w:r>
      <w:r w:rsidR="00E3656B" w:rsidRPr="0002535D">
        <w:rPr>
          <w:rFonts w:ascii="Arial" w:hAnsi="Arial" w:cs="Arial"/>
          <w:noProof/>
          <w:sz w:val="24"/>
          <w:szCs w:val="24"/>
        </w:rPr>
        <w:t xml:space="preserve"> will be </w:t>
      </w:r>
      <w:r w:rsidR="003A4F59">
        <w:rPr>
          <w:rFonts w:ascii="Arial" w:hAnsi="Arial" w:cs="Arial"/>
          <w:noProof/>
          <w:sz w:val="24"/>
          <w:szCs w:val="24"/>
        </w:rPr>
        <w:t xml:space="preserve">available in </w:t>
      </w:r>
      <w:r w:rsidR="000E7845">
        <w:rPr>
          <w:rFonts w:ascii="Arial" w:hAnsi="Arial" w:cs="Arial"/>
          <w:noProof/>
          <w:sz w:val="24"/>
          <w:szCs w:val="24"/>
        </w:rPr>
        <w:t>2025.</w:t>
      </w:r>
      <w:r w:rsidR="00E3656B" w:rsidRPr="0002535D">
        <w:rPr>
          <w:rFonts w:ascii="Arial" w:hAnsi="Arial" w:cs="Arial"/>
          <w:noProof/>
          <w:sz w:val="24"/>
          <w:szCs w:val="24"/>
        </w:rPr>
        <w:t xml:space="preserve"> </w:t>
      </w:r>
    </w:p>
    <w:p w14:paraId="2380FCFF" w14:textId="31DA47F0" w:rsidR="007B0F9C" w:rsidRPr="00EC227A" w:rsidRDefault="002879BA" w:rsidP="007B0F9C">
      <w:pPr>
        <w:pStyle w:val="ListParagraph"/>
        <w:numPr>
          <w:ilvl w:val="1"/>
          <w:numId w:val="22"/>
        </w:numPr>
        <w:autoSpaceDE w:val="0"/>
        <w:autoSpaceDN w:val="0"/>
        <w:adjustRightInd w:val="0"/>
        <w:spacing w:after="0" w:line="240" w:lineRule="auto"/>
        <w:rPr>
          <w:rFonts w:ascii="Calibri" w:hAnsi="Calibri" w:cs="Calibri"/>
          <w:color w:val="000000"/>
          <w:sz w:val="24"/>
          <w:szCs w:val="24"/>
        </w:rPr>
      </w:pPr>
      <w:r w:rsidRPr="000E7845">
        <w:rPr>
          <w:rFonts w:ascii="Arial" w:hAnsi="Arial" w:cs="Arial"/>
          <w:b/>
          <w:bCs/>
          <w:noProof/>
          <w:sz w:val="24"/>
          <w:szCs w:val="24"/>
        </w:rPr>
        <w:t>Will additional information from these other studies reduce uncertainty? -  Yes</w:t>
      </w:r>
      <w:r w:rsidRPr="000E7845">
        <w:rPr>
          <w:rFonts w:ascii="Arial" w:hAnsi="Arial" w:cs="Arial"/>
          <w:noProof/>
          <w:sz w:val="24"/>
          <w:szCs w:val="24"/>
        </w:rPr>
        <w:t xml:space="preserve">.  </w:t>
      </w:r>
      <w:r w:rsidR="000E7845" w:rsidRPr="000E7845">
        <w:rPr>
          <w:rFonts w:ascii="Arial" w:hAnsi="Arial" w:cs="Arial"/>
          <w:noProof/>
          <w:sz w:val="24"/>
          <w:szCs w:val="24"/>
        </w:rPr>
        <w:t xml:space="preserve">EMC-2022-005 will </w:t>
      </w:r>
      <w:r w:rsidR="00206015">
        <w:rPr>
          <w:rFonts w:ascii="Arial" w:hAnsi="Arial" w:cs="Arial"/>
          <w:noProof/>
          <w:sz w:val="24"/>
          <w:szCs w:val="24"/>
        </w:rPr>
        <w:t xml:space="preserve">reduce uncertainty regarding the relationship between wood decay and potential fire behavior following timber harvest.  </w:t>
      </w:r>
    </w:p>
    <w:p w14:paraId="6E8A0719" w14:textId="77777777" w:rsidR="00EC227A" w:rsidRPr="000E7845" w:rsidRDefault="00EC227A" w:rsidP="00EC227A">
      <w:pPr>
        <w:pStyle w:val="ListParagraph"/>
        <w:autoSpaceDE w:val="0"/>
        <w:autoSpaceDN w:val="0"/>
        <w:adjustRightInd w:val="0"/>
        <w:spacing w:after="0" w:line="240" w:lineRule="auto"/>
        <w:ind w:left="1080"/>
        <w:rPr>
          <w:rFonts w:ascii="Calibri" w:hAnsi="Calibri" w:cs="Calibri"/>
          <w:color w:val="000000"/>
          <w:sz w:val="24"/>
          <w:szCs w:val="24"/>
        </w:rPr>
      </w:pPr>
    </w:p>
    <w:p w14:paraId="0D43FB48" w14:textId="69A184A8" w:rsidR="00786DA6" w:rsidRPr="00786DA6" w:rsidRDefault="00786DA6" w:rsidP="00786DA6">
      <w:pPr>
        <w:pStyle w:val="ListParagraph"/>
        <w:numPr>
          <w:ilvl w:val="0"/>
          <w:numId w:val="15"/>
        </w:numPr>
        <w:rPr>
          <w:rFonts w:ascii="Arial" w:hAnsi="Arial" w:cs="Arial"/>
          <w:b/>
          <w:bCs/>
          <w:noProof/>
          <w:sz w:val="24"/>
          <w:szCs w:val="24"/>
        </w:rPr>
      </w:pPr>
      <w:r w:rsidRPr="00786DA6">
        <w:rPr>
          <w:rFonts w:ascii="Arial" w:hAnsi="Arial" w:cs="Arial"/>
          <w:b/>
          <w:bCs/>
          <w:noProof/>
          <w:sz w:val="24"/>
          <w:szCs w:val="24"/>
        </w:rPr>
        <w:t>Scientific Applications</w:t>
      </w:r>
      <w:r>
        <w:rPr>
          <w:rFonts w:ascii="Arial" w:hAnsi="Arial" w:cs="Arial"/>
          <w:b/>
          <w:bCs/>
          <w:noProof/>
          <w:sz w:val="24"/>
          <w:szCs w:val="24"/>
        </w:rPr>
        <w:t xml:space="preserve"> - </w:t>
      </w:r>
      <w:r w:rsidRPr="00786DA6">
        <w:rPr>
          <w:rFonts w:ascii="Arial" w:hAnsi="Arial" w:cs="Arial"/>
          <w:b/>
          <w:bCs/>
          <w:sz w:val="24"/>
          <w:szCs w:val="24"/>
        </w:rPr>
        <w:t>What is the scientific basis that underlies the rule, numeric target, performance target, or resource objective that the study informs? How much of an incremental gain in understanding do the study results represent?</w:t>
      </w:r>
    </w:p>
    <w:p w14:paraId="26767F1B" w14:textId="13B18654" w:rsidR="007B0F9C" w:rsidRPr="00786DA6" w:rsidRDefault="007B0F9C" w:rsidP="00786DA6">
      <w:pPr>
        <w:pStyle w:val="ListParagraph"/>
        <w:autoSpaceDE w:val="0"/>
        <w:autoSpaceDN w:val="0"/>
        <w:adjustRightInd w:val="0"/>
        <w:spacing w:after="0" w:line="240" w:lineRule="auto"/>
        <w:ind w:left="360"/>
        <w:rPr>
          <w:rFonts w:ascii="Calibri" w:hAnsi="Calibri" w:cs="Calibri"/>
          <w:b/>
          <w:bCs/>
          <w:color w:val="000000"/>
          <w:sz w:val="24"/>
          <w:szCs w:val="24"/>
        </w:rPr>
      </w:pPr>
    </w:p>
    <w:p w14:paraId="2D4AF1DC" w14:textId="7B725E75" w:rsidR="00E95C34" w:rsidRDefault="00206015" w:rsidP="00C53BFA">
      <w:pPr>
        <w:ind w:left="360"/>
        <w:rPr>
          <w:rFonts w:ascii="Arial" w:hAnsi="Arial" w:cs="Arial"/>
          <w:noProof/>
          <w:sz w:val="24"/>
          <w:szCs w:val="24"/>
        </w:rPr>
      </w:pPr>
      <w:r>
        <w:rPr>
          <w:rFonts w:ascii="Arial" w:hAnsi="Arial" w:cs="Arial"/>
          <w:noProof/>
          <w:sz w:val="24"/>
          <w:szCs w:val="24"/>
        </w:rPr>
        <w:t>This study informs no rule, numeric target, performance target, or resource objective associated with the Forest Practice Rules</w:t>
      </w:r>
      <w:r w:rsidR="00522033">
        <w:rPr>
          <w:rFonts w:ascii="Arial" w:hAnsi="Arial" w:cs="Arial"/>
          <w:noProof/>
          <w:sz w:val="24"/>
          <w:szCs w:val="24"/>
        </w:rPr>
        <w:t xml:space="preserve"> with quantitative data.  As such, it leads very little to our knowledge regarding </w:t>
      </w:r>
      <w:r w:rsidR="00E95C34">
        <w:rPr>
          <w:rFonts w:ascii="Arial" w:hAnsi="Arial" w:cs="Arial"/>
          <w:noProof/>
          <w:sz w:val="24"/>
          <w:szCs w:val="24"/>
        </w:rPr>
        <w:t>the effectiveness of the Forest Practice Rules in terms of managing fuel loads or post-harvest slash accumulation.</w:t>
      </w:r>
      <w:r w:rsidR="00E65916">
        <w:rPr>
          <w:rFonts w:ascii="Arial" w:hAnsi="Arial" w:cs="Arial"/>
          <w:noProof/>
          <w:sz w:val="24"/>
          <w:szCs w:val="24"/>
        </w:rPr>
        <w:t xml:space="preserve">  However, it is recognized that complicating factors (i.e., the Dixie Fire) prevented successful implementation of the study scope of work.  </w:t>
      </w:r>
      <w:r w:rsidR="00E95C34">
        <w:rPr>
          <w:rFonts w:ascii="Arial" w:hAnsi="Arial" w:cs="Arial"/>
          <w:noProof/>
          <w:sz w:val="24"/>
          <w:szCs w:val="24"/>
        </w:rPr>
        <w:t xml:space="preserve">  </w:t>
      </w:r>
    </w:p>
    <w:p w14:paraId="782C4C71" w14:textId="530FB1D0" w:rsidR="00E95C34" w:rsidRPr="00E95C34" w:rsidRDefault="00E95C34" w:rsidP="00E95C34">
      <w:pPr>
        <w:rPr>
          <w:rFonts w:ascii="Arial" w:hAnsi="Arial" w:cs="Arial"/>
          <w:b/>
          <w:bCs/>
          <w:noProof/>
          <w:sz w:val="24"/>
          <w:szCs w:val="24"/>
        </w:rPr>
      </w:pPr>
      <w:r w:rsidRPr="00E95C34">
        <w:rPr>
          <w:rFonts w:ascii="Arial" w:hAnsi="Arial" w:cs="Arial"/>
          <w:b/>
          <w:bCs/>
          <w:noProof/>
          <w:sz w:val="24"/>
          <w:szCs w:val="24"/>
        </w:rPr>
        <w:t>References:</w:t>
      </w:r>
    </w:p>
    <w:p w14:paraId="6BEEF426" w14:textId="642F6FC9" w:rsidR="00E95C34" w:rsidRDefault="00E95C34" w:rsidP="00E95C34">
      <w:pPr>
        <w:rPr>
          <w:rFonts w:ascii="Arial" w:hAnsi="Arial" w:cs="Arial"/>
          <w:noProof/>
          <w:sz w:val="24"/>
          <w:szCs w:val="24"/>
        </w:rPr>
      </w:pPr>
      <w:r w:rsidRPr="00E95C34">
        <w:rPr>
          <w:rFonts w:ascii="Arial" w:hAnsi="Arial" w:cs="Arial"/>
          <w:noProof/>
          <w:sz w:val="24"/>
          <w:szCs w:val="24"/>
        </w:rPr>
        <w:t xml:space="preserve">Olsen, W., and Coe, D. 2021. “Report on Exempt Timber Harvesting for the Reduction of Fire Hazard Within 150 Feet of Structures And Non-Discretionary Timber Harvest Notice Use and Rule Compliance”. California Department of Forestry and Fire Protection and State Board of Forestry and Fire Protection. Sacramento, CA. 41 p. plus Appendices. </w:t>
      </w:r>
      <w:hyperlink r:id="rId11" w:history="1">
        <w:r w:rsidRPr="00E95C34">
          <w:rPr>
            <w:rStyle w:val="Hyperlink"/>
            <w:rFonts w:ascii="Arial" w:hAnsi="Arial"/>
            <w:noProof/>
            <w:sz w:val="24"/>
            <w:szCs w:val="24"/>
          </w:rPr>
          <w:t>bof.fire.ca.gov/media/lm3lxh30/report-on-exempt-timber-harvesting-for-the-reduction-of-fire-hazard-within-150-feet-of-structures_ada.pdf</w:t>
        </w:r>
      </w:hyperlink>
      <w:r w:rsidRPr="00E95C34">
        <w:rPr>
          <w:rFonts w:ascii="Arial" w:hAnsi="Arial" w:cs="Arial"/>
          <w:noProof/>
          <w:sz w:val="24"/>
          <w:szCs w:val="24"/>
        </w:rPr>
        <w:t xml:space="preserve"> </w:t>
      </w:r>
    </w:p>
    <w:p w14:paraId="73A1E6C0" w14:textId="15CBE898" w:rsidR="00D73D7C" w:rsidRPr="00E95C34" w:rsidRDefault="00D73D7C" w:rsidP="00E95C34">
      <w:pPr>
        <w:rPr>
          <w:rFonts w:ascii="Arial" w:hAnsi="Arial" w:cs="Arial"/>
          <w:noProof/>
          <w:sz w:val="24"/>
          <w:szCs w:val="24"/>
        </w:rPr>
      </w:pPr>
      <w:r w:rsidRPr="00C53BFA">
        <w:rPr>
          <w:rFonts w:ascii="Arial" w:hAnsi="Arial" w:cs="Arial"/>
          <w:noProof/>
          <w:sz w:val="24"/>
          <w:szCs w:val="24"/>
          <w:lang w:val="es-MX"/>
        </w:rPr>
        <w:t xml:space="preserve">Olsen, W., &amp; Coe, D. (2021b). </w:t>
      </w:r>
      <w:r w:rsidRPr="00D73D7C">
        <w:rPr>
          <w:rFonts w:ascii="Arial" w:hAnsi="Arial" w:cs="Arial"/>
          <w:noProof/>
          <w:sz w:val="24"/>
          <w:szCs w:val="24"/>
        </w:rPr>
        <w:t xml:space="preserve">“Beyond Zone 1: Monitoring of Fire Hazard Reduction Within 300 Feet of Residences Through Timber Harvest with the §1038(c)(6) Exemption”. California Department of Forestry and Fire Protection and State Board of Forestry and Fire Protection. Sacramento, CA. 46 p. plus Appendices. </w:t>
      </w:r>
      <w:hyperlink r:id="rId12" w:history="1">
        <w:r w:rsidRPr="00D73D7C">
          <w:rPr>
            <w:rStyle w:val="Hyperlink"/>
            <w:rFonts w:ascii="Arial" w:hAnsi="Arial" w:cs="Arial"/>
            <w:noProof/>
            <w:sz w:val="24"/>
            <w:szCs w:val="24"/>
          </w:rPr>
          <w:t>https://bof.fire.ca.gov/media/dvlputmk/full-10-e-exemption-and-emergency-monitoring-report_ada.pdf</w:t>
        </w:r>
      </w:hyperlink>
    </w:p>
    <w:p w14:paraId="608637B0" w14:textId="41B610C0" w:rsidR="00E95C34" w:rsidRPr="007E50BC" w:rsidRDefault="00E95C34" w:rsidP="00AE0239">
      <w:pPr>
        <w:rPr>
          <w:rFonts w:ascii="Arial" w:hAnsi="Arial" w:cs="Arial"/>
          <w:noProof/>
          <w:sz w:val="24"/>
          <w:szCs w:val="24"/>
        </w:rPr>
      </w:pPr>
      <w:r w:rsidRPr="00E95C34">
        <w:rPr>
          <w:rFonts w:ascii="Arial" w:hAnsi="Arial" w:cs="Arial"/>
          <w:noProof/>
          <w:sz w:val="24"/>
          <w:szCs w:val="24"/>
        </w:rPr>
        <w:t xml:space="preserve">Olsen, W., Coe, D. (2022). Forest Fire Prevention, or Fire Resiliency? Monitoring Report on the 1038 Forest Fire Prevention Exemption. Sacramento, CA. 127 p. plus Appendices. </w:t>
      </w:r>
      <w:hyperlink r:id="rId13" w:history="1">
        <w:r w:rsidRPr="00E95C34">
          <w:rPr>
            <w:rFonts w:ascii="Arial" w:hAnsi="Arial" w:cs="Arial"/>
            <w:noProof/>
            <w:sz w:val="24"/>
            <w:szCs w:val="24"/>
          </w:rPr>
          <w:t>(PDF) Forest Fire Prevention, or Forest Resiliency? Monitoring Report on the §1038 Forest Fire Prevention Exemption (researchgate.net)</w:t>
        </w:r>
      </w:hyperlink>
      <w:r w:rsidR="00A4511B">
        <w:rPr>
          <w:rFonts w:ascii="Arial" w:hAnsi="Arial" w:cs="Arial"/>
          <w:noProof/>
          <w:sz w:val="24"/>
          <w:szCs w:val="24"/>
        </w:rPr>
        <w:t>9</w:t>
      </w:r>
    </w:p>
    <w:sectPr w:rsidR="00E95C34" w:rsidRPr="007E50B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4A34" w14:textId="77777777" w:rsidR="00B24AAB" w:rsidRDefault="00B24AAB" w:rsidP="006551E3">
      <w:pPr>
        <w:spacing w:after="0" w:line="240" w:lineRule="auto"/>
      </w:pPr>
      <w:r>
        <w:separator/>
      </w:r>
    </w:p>
  </w:endnote>
  <w:endnote w:type="continuationSeparator" w:id="0">
    <w:p w14:paraId="489C18DC" w14:textId="77777777" w:rsidR="00B24AAB" w:rsidRDefault="00B24AAB" w:rsidP="0065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A7F7" w14:textId="77777777" w:rsidR="00E93D30" w:rsidRDefault="00E93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475F" w14:textId="77777777" w:rsidR="00E93D30" w:rsidRDefault="00E93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5E07" w14:textId="77777777" w:rsidR="00E93D30" w:rsidRDefault="00E93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057EF" w14:textId="77777777" w:rsidR="00B24AAB" w:rsidRDefault="00B24AAB" w:rsidP="006551E3">
      <w:pPr>
        <w:spacing w:after="0" w:line="240" w:lineRule="auto"/>
      </w:pPr>
      <w:r>
        <w:separator/>
      </w:r>
    </w:p>
  </w:footnote>
  <w:footnote w:type="continuationSeparator" w:id="0">
    <w:p w14:paraId="5EDEC518" w14:textId="77777777" w:rsidR="00B24AAB" w:rsidRDefault="00B24AAB" w:rsidP="0065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5F4F" w14:textId="28767DC1" w:rsidR="00E93D30" w:rsidRDefault="00694E6D">
    <w:pPr>
      <w:pStyle w:val="Header"/>
    </w:pPr>
    <w:r>
      <w:rPr>
        <w:noProof/>
      </w:rPr>
      <mc:AlternateContent>
        <mc:Choice Requires="wps">
          <w:drawing>
            <wp:anchor distT="0" distB="0" distL="114300" distR="114300" simplePos="0" relativeHeight="251661312" behindDoc="1" locked="0" layoutInCell="0" allowOverlap="1" wp14:anchorId="2814A0F5" wp14:editId="6EF42D30">
              <wp:simplePos x="0" y="0"/>
              <wp:positionH relativeFrom="margin">
                <wp:align>center</wp:align>
              </wp:positionH>
              <wp:positionV relativeFrom="margin">
                <wp:align>center</wp:align>
              </wp:positionV>
              <wp:extent cx="5237480" cy="3141980"/>
              <wp:effectExtent l="0" t="1152525" r="0" b="658495"/>
              <wp:wrapNone/>
              <wp:docPr id="174139088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9C7C38" w14:textId="77777777" w:rsidR="00694E6D" w:rsidRDefault="00694E6D" w:rsidP="00694E6D">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14A0F5" id="_x0000_t202" coordsize="21600,21600" o:spt="202" path="m,l,21600r21600,l21600,xe">
              <v:stroke joinstyle="miter"/>
              <v:path gradientshapeok="t" o:connecttype="rect"/>
            </v:shapetype>
            <v:shape id="WordArt 2" o:spid="_x0000_s1026" type="#_x0000_t202" style="position:absolute;margin-left:0;margin-top:0;width:412.4pt;height:24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" o:allowincell="f" filled="f" stroked="f">
              <v:stroke joinstyle="round"/>
              <o:lock v:ext="edit" shapetype="t"/>
              <v:textbox style="mso-fit-shape-to-text:t">
                <w:txbxContent>
                  <w:p w14:paraId="259C7C38" w14:textId="77777777" w:rsidR="00694E6D" w:rsidRDefault="00694E6D" w:rsidP="00694E6D">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08D2" w14:textId="5761F0E6" w:rsidR="00E93D30" w:rsidRDefault="00E93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56F3" w14:textId="2CC7B938" w:rsidR="00E93D30" w:rsidRDefault="00E93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446B"/>
    <w:multiLevelType w:val="hybridMultilevel"/>
    <w:tmpl w:val="DEDA0CE6"/>
    <w:lvl w:ilvl="0" w:tplc="0409000F">
      <w:start w:val="1"/>
      <w:numFmt w:val="decimal"/>
      <w:lvlText w:val="%1."/>
      <w:lvlJc w:val="left"/>
      <w:pPr>
        <w:ind w:left="12150" w:hanging="360"/>
      </w:pPr>
    </w:lvl>
    <w:lvl w:ilvl="1" w:tplc="04090019" w:tentative="1">
      <w:start w:val="1"/>
      <w:numFmt w:val="lowerLetter"/>
      <w:lvlText w:val="%2."/>
      <w:lvlJc w:val="left"/>
      <w:pPr>
        <w:ind w:left="12870" w:hanging="360"/>
      </w:pPr>
    </w:lvl>
    <w:lvl w:ilvl="2" w:tplc="0409001B" w:tentative="1">
      <w:start w:val="1"/>
      <w:numFmt w:val="lowerRoman"/>
      <w:lvlText w:val="%3."/>
      <w:lvlJc w:val="right"/>
      <w:pPr>
        <w:ind w:left="13590" w:hanging="180"/>
      </w:pPr>
    </w:lvl>
    <w:lvl w:ilvl="3" w:tplc="0409000F" w:tentative="1">
      <w:start w:val="1"/>
      <w:numFmt w:val="decimal"/>
      <w:lvlText w:val="%4."/>
      <w:lvlJc w:val="left"/>
      <w:pPr>
        <w:ind w:left="14310" w:hanging="360"/>
      </w:pPr>
    </w:lvl>
    <w:lvl w:ilvl="4" w:tplc="04090019" w:tentative="1">
      <w:start w:val="1"/>
      <w:numFmt w:val="lowerLetter"/>
      <w:lvlText w:val="%5."/>
      <w:lvlJc w:val="left"/>
      <w:pPr>
        <w:ind w:left="15030" w:hanging="360"/>
      </w:pPr>
    </w:lvl>
    <w:lvl w:ilvl="5" w:tplc="0409001B" w:tentative="1">
      <w:start w:val="1"/>
      <w:numFmt w:val="lowerRoman"/>
      <w:lvlText w:val="%6."/>
      <w:lvlJc w:val="right"/>
      <w:pPr>
        <w:ind w:left="15750" w:hanging="180"/>
      </w:pPr>
    </w:lvl>
    <w:lvl w:ilvl="6" w:tplc="0409000F" w:tentative="1">
      <w:start w:val="1"/>
      <w:numFmt w:val="decimal"/>
      <w:lvlText w:val="%7."/>
      <w:lvlJc w:val="left"/>
      <w:pPr>
        <w:ind w:left="16470" w:hanging="360"/>
      </w:pPr>
    </w:lvl>
    <w:lvl w:ilvl="7" w:tplc="04090019" w:tentative="1">
      <w:start w:val="1"/>
      <w:numFmt w:val="lowerLetter"/>
      <w:lvlText w:val="%8."/>
      <w:lvlJc w:val="left"/>
      <w:pPr>
        <w:ind w:left="17190" w:hanging="360"/>
      </w:pPr>
    </w:lvl>
    <w:lvl w:ilvl="8" w:tplc="0409001B" w:tentative="1">
      <w:start w:val="1"/>
      <w:numFmt w:val="lowerRoman"/>
      <w:lvlText w:val="%9."/>
      <w:lvlJc w:val="right"/>
      <w:pPr>
        <w:ind w:left="17910" w:hanging="180"/>
      </w:pPr>
    </w:lvl>
  </w:abstractNum>
  <w:abstractNum w:abstractNumId="1" w15:restartNumberingAfterBreak="0">
    <w:nsid w:val="109B2D9C"/>
    <w:multiLevelType w:val="multilevel"/>
    <w:tmpl w:val="6C42B366"/>
    <w:lvl w:ilvl="0">
      <w:start w:val="2"/>
      <w:numFmt w:val="lowerRoman"/>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A2CA7"/>
    <w:multiLevelType w:val="hybridMultilevel"/>
    <w:tmpl w:val="8D9E8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8F5266"/>
    <w:multiLevelType w:val="hybridMultilevel"/>
    <w:tmpl w:val="9EC42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DA1B1A"/>
    <w:multiLevelType w:val="hybridMultilevel"/>
    <w:tmpl w:val="F3046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44626"/>
    <w:multiLevelType w:val="hybridMultilevel"/>
    <w:tmpl w:val="7AD4B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C00FD9"/>
    <w:multiLevelType w:val="hybridMultilevel"/>
    <w:tmpl w:val="326829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360EB9"/>
    <w:multiLevelType w:val="multilevel"/>
    <w:tmpl w:val="399C91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CB4345"/>
    <w:multiLevelType w:val="hybridMultilevel"/>
    <w:tmpl w:val="CBC24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55F03"/>
    <w:multiLevelType w:val="hybridMultilevel"/>
    <w:tmpl w:val="0E228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2939FE"/>
    <w:multiLevelType w:val="multilevel"/>
    <w:tmpl w:val="10D4EE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1369F8"/>
    <w:multiLevelType w:val="hybridMultilevel"/>
    <w:tmpl w:val="C238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F1BB2"/>
    <w:multiLevelType w:val="hybridMultilevel"/>
    <w:tmpl w:val="7B0AB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220336"/>
    <w:multiLevelType w:val="hybridMultilevel"/>
    <w:tmpl w:val="BEC4F950"/>
    <w:lvl w:ilvl="0" w:tplc="A560FB78">
      <w:start w:val="1"/>
      <w:numFmt w:val="upperLetter"/>
      <w:lvlText w:val="%1."/>
      <w:lvlJc w:val="left"/>
      <w:pPr>
        <w:ind w:left="360" w:hanging="360"/>
      </w:pPr>
      <w:rPr>
        <w:rFonts w:hint="default"/>
        <w:b/>
      </w:rPr>
    </w:lvl>
    <w:lvl w:ilvl="1" w:tplc="0409001B">
      <w:start w:val="1"/>
      <w:numFmt w:val="lowerRoman"/>
      <w:lvlText w:val="%2."/>
      <w:lvlJc w:val="righ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0A02B8"/>
    <w:multiLevelType w:val="multilevel"/>
    <w:tmpl w:val="36129A2A"/>
    <w:lvl w:ilvl="0">
      <w:start w:val="2"/>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06479B"/>
    <w:multiLevelType w:val="hybridMultilevel"/>
    <w:tmpl w:val="144ADC0A"/>
    <w:lvl w:ilvl="0" w:tplc="FA30852E">
      <w:start w:val="4"/>
      <w:numFmt w:val="decimal"/>
      <w:lvlText w:val="%1."/>
      <w:lvlJc w:val="left"/>
      <w:pPr>
        <w:ind w:left="360" w:hanging="360"/>
      </w:pPr>
      <w:rPr>
        <w:rFonts w:ascii="Arial" w:hAnsi="Arial" w:cs="Aria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555E4233"/>
    <w:multiLevelType w:val="hybridMultilevel"/>
    <w:tmpl w:val="D80A945A"/>
    <w:lvl w:ilvl="0" w:tplc="AC549BE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80887"/>
    <w:multiLevelType w:val="hybridMultilevel"/>
    <w:tmpl w:val="C2024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30C0B"/>
    <w:multiLevelType w:val="hybridMultilevel"/>
    <w:tmpl w:val="69B81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672246"/>
    <w:multiLevelType w:val="hybridMultilevel"/>
    <w:tmpl w:val="3A2C2C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EB5703"/>
    <w:multiLevelType w:val="hybridMultilevel"/>
    <w:tmpl w:val="A118B0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5C24A4"/>
    <w:multiLevelType w:val="multilevel"/>
    <w:tmpl w:val="6C42B366"/>
    <w:lvl w:ilvl="0">
      <w:start w:val="2"/>
      <w:numFmt w:val="lowerRoman"/>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ED1855"/>
    <w:multiLevelType w:val="hybridMultilevel"/>
    <w:tmpl w:val="58E6F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29190C"/>
    <w:multiLevelType w:val="hybridMultilevel"/>
    <w:tmpl w:val="219EFF06"/>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4" w15:restartNumberingAfterBreak="0">
    <w:nsid w:val="7AD92D71"/>
    <w:multiLevelType w:val="hybridMultilevel"/>
    <w:tmpl w:val="32E4E35E"/>
    <w:lvl w:ilvl="0" w:tplc="F0C2DA44">
      <w:start w:val="2"/>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3104D"/>
    <w:multiLevelType w:val="hybridMultilevel"/>
    <w:tmpl w:val="0C1CE57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7BF06BC0"/>
    <w:multiLevelType w:val="hybridMultilevel"/>
    <w:tmpl w:val="D122B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60567C"/>
    <w:multiLevelType w:val="hybridMultilevel"/>
    <w:tmpl w:val="127A3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0156639">
    <w:abstractNumId w:val="10"/>
  </w:num>
  <w:num w:numId="2" w16cid:durableId="172575028">
    <w:abstractNumId w:val="7"/>
  </w:num>
  <w:num w:numId="3" w16cid:durableId="1571965881">
    <w:abstractNumId w:val="19"/>
  </w:num>
  <w:num w:numId="4" w16cid:durableId="2118018701">
    <w:abstractNumId w:val="4"/>
  </w:num>
  <w:num w:numId="5" w16cid:durableId="2117747048">
    <w:abstractNumId w:val="25"/>
  </w:num>
  <w:num w:numId="6" w16cid:durableId="720447733">
    <w:abstractNumId w:val="20"/>
  </w:num>
  <w:num w:numId="7" w16cid:durableId="459301675">
    <w:abstractNumId w:val="24"/>
  </w:num>
  <w:num w:numId="8" w16cid:durableId="1804881047">
    <w:abstractNumId w:val="26"/>
  </w:num>
  <w:num w:numId="9" w16cid:durableId="585575142">
    <w:abstractNumId w:val="0"/>
  </w:num>
  <w:num w:numId="10" w16cid:durableId="236674028">
    <w:abstractNumId w:val="5"/>
  </w:num>
  <w:num w:numId="11" w16cid:durableId="558134719">
    <w:abstractNumId w:val="18"/>
  </w:num>
  <w:num w:numId="12" w16cid:durableId="1014385933">
    <w:abstractNumId w:val="23"/>
  </w:num>
  <w:num w:numId="13" w16cid:durableId="1500387554">
    <w:abstractNumId w:val="16"/>
  </w:num>
  <w:num w:numId="14" w16cid:durableId="400442625">
    <w:abstractNumId w:val="12"/>
  </w:num>
  <w:num w:numId="15" w16cid:durableId="351959165">
    <w:abstractNumId w:val="15"/>
  </w:num>
  <w:num w:numId="16" w16cid:durableId="195823887">
    <w:abstractNumId w:val="8"/>
  </w:num>
  <w:num w:numId="17" w16cid:durableId="1126117707">
    <w:abstractNumId w:val="2"/>
  </w:num>
  <w:num w:numId="18" w16cid:durableId="1383285710">
    <w:abstractNumId w:val="11"/>
  </w:num>
  <w:num w:numId="19" w16cid:durableId="319816243">
    <w:abstractNumId w:val="14"/>
  </w:num>
  <w:num w:numId="20" w16cid:durableId="1519544436">
    <w:abstractNumId w:val="21"/>
  </w:num>
  <w:num w:numId="21" w16cid:durableId="91321517">
    <w:abstractNumId w:val="1"/>
  </w:num>
  <w:num w:numId="22" w16cid:durableId="286089285">
    <w:abstractNumId w:val="13"/>
  </w:num>
  <w:num w:numId="23" w16cid:durableId="1127817696">
    <w:abstractNumId w:val="9"/>
  </w:num>
  <w:num w:numId="24" w16cid:durableId="838696292">
    <w:abstractNumId w:val="17"/>
  </w:num>
  <w:num w:numId="25" w16cid:durableId="1069577158">
    <w:abstractNumId w:val="27"/>
  </w:num>
  <w:num w:numId="26" w16cid:durableId="2061856572">
    <w:abstractNumId w:val="3"/>
  </w:num>
  <w:num w:numId="27" w16cid:durableId="1446969449">
    <w:abstractNumId w:val="22"/>
  </w:num>
  <w:num w:numId="28" w16cid:durableId="2104837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DBwXs2dVKJ264eZN8ea+Sfq9pniP20ibaoh+2kh9J9myJ3WUnZToqp3eoY5plt9iYyCI59bzFek7Q5OP+qd2bw==" w:salt="XSNobohOx94M55Bheoz5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15"/>
    <w:rsid w:val="00006001"/>
    <w:rsid w:val="0000677B"/>
    <w:rsid w:val="00023257"/>
    <w:rsid w:val="0002535D"/>
    <w:rsid w:val="00026D03"/>
    <w:rsid w:val="000367D5"/>
    <w:rsid w:val="000438C1"/>
    <w:rsid w:val="0005139E"/>
    <w:rsid w:val="000515CB"/>
    <w:rsid w:val="00052A88"/>
    <w:rsid w:val="000532A4"/>
    <w:rsid w:val="00054E70"/>
    <w:rsid w:val="00061B7E"/>
    <w:rsid w:val="000627B3"/>
    <w:rsid w:val="000652B6"/>
    <w:rsid w:val="0007171C"/>
    <w:rsid w:val="00081C3E"/>
    <w:rsid w:val="00082774"/>
    <w:rsid w:val="00090E91"/>
    <w:rsid w:val="000960AD"/>
    <w:rsid w:val="000A77C3"/>
    <w:rsid w:val="000C7F6B"/>
    <w:rsid w:val="000E0A36"/>
    <w:rsid w:val="000E3364"/>
    <w:rsid w:val="000E7845"/>
    <w:rsid w:val="000F150B"/>
    <w:rsid w:val="000F384D"/>
    <w:rsid w:val="000F7ED9"/>
    <w:rsid w:val="00107868"/>
    <w:rsid w:val="00111ED1"/>
    <w:rsid w:val="00125660"/>
    <w:rsid w:val="00127633"/>
    <w:rsid w:val="0013058D"/>
    <w:rsid w:val="00130D92"/>
    <w:rsid w:val="0013185D"/>
    <w:rsid w:val="001374D1"/>
    <w:rsid w:val="001441E3"/>
    <w:rsid w:val="00165324"/>
    <w:rsid w:val="00173519"/>
    <w:rsid w:val="00173852"/>
    <w:rsid w:val="001856AD"/>
    <w:rsid w:val="001A0E3A"/>
    <w:rsid w:val="001A56B3"/>
    <w:rsid w:val="001A6204"/>
    <w:rsid w:val="001A787C"/>
    <w:rsid w:val="001B4E13"/>
    <w:rsid w:val="001C22A6"/>
    <w:rsid w:val="001C4DC3"/>
    <w:rsid w:val="001C6764"/>
    <w:rsid w:val="001E1A1F"/>
    <w:rsid w:val="001E3329"/>
    <w:rsid w:val="001E5DE8"/>
    <w:rsid w:val="00200362"/>
    <w:rsid w:val="00206015"/>
    <w:rsid w:val="00207E51"/>
    <w:rsid w:val="00210979"/>
    <w:rsid w:val="002178F5"/>
    <w:rsid w:val="00217F4A"/>
    <w:rsid w:val="00225FD4"/>
    <w:rsid w:val="00231785"/>
    <w:rsid w:val="00234781"/>
    <w:rsid w:val="00236CDD"/>
    <w:rsid w:val="002542EB"/>
    <w:rsid w:val="002560AA"/>
    <w:rsid w:val="0026001A"/>
    <w:rsid w:val="00261EBE"/>
    <w:rsid w:val="0026765B"/>
    <w:rsid w:val="002879BA"/>
    <w:rsid w:val="00293A15"/>
    <w:rsid w:val="00293DA2"/>
    <w:rsid w:val="00296055"/>
    <w:rsid w:val="00296358"/>
    <w:rsid w:val="00296CCD"/>
    <w:rsid w:val="002A3918"/>
    <w:rsid w:val="002A431B"/>
    <w:rsid w:val="002A7005"/>
    <w:rsid w:val="002C45FA"/>
    <w:rsid w:val="002D18BA"/>
    <w:rsid w:val="002D6130"/>
    <w:rsid w:val="00301198"/>
    <w:rsid w:val="00330C20"/>
    <w:rsid w:val="00331E5E"/>
    <w:rsid w:val="00337CC8"/>
    <w:rsid w:val="00341F70"/>
    <w:rsid w:val="00344915"/>
    <w:rsid w:val="00370982"/>
    <w:rsid w:val="003712F8"/>
    <w:rsid w:val="00375339"/>
    <w:rsid w:val="00380380"/>
    <w:rsid w:val="00380FDE"/>
    <w:rsid w:val="003840A5"/>
    <w:rsid w:val="003845AD"/>
    <w:rsid w:val="003957A8"/>
    <w:rsid w:val="003A2BC1"/>
    <w:rsid w:val="003A4578"/>
    <w:rsid w:val="003A4871"/>
    <w:rsid w:val="003A4F59"/>
    <w:rsid w:val="003B20F1"/>
    <w:rsid w:val="003B22F1"/>
    <w:rsid w:val="003B2546"/>
    <w:rsid w:val="003B2A6F"/>
    <w:rsid w:val="003B2F8C"/>
    <w:rsid w:val="003B3ED3"/>
    <w:rsid w:val="003B48DD"/>
    <w:rsid w:val="003E1610"/>
    <w:rsid w:val="003F063E"/>
    <w:rsid w:val="003F7226"/>
    <w:rsid w:val="004058C0"/>
    <w:rsid w:val="00406AC5"/>
    <w:rsid w:val="00407596"/>
    <w:rsid w:val="00416205"/>
    <w:rsid w:val="00432944"/>
    <w:rsid w:val="00433C54"/>
    <w:rsid w:val="00450E2B"/>
    <w:rsid w:val="004539F1"/>
    <w:rsid w:val="004618EC"/>
    <w:rsid w:val="00461F08"/>
    <w:rsid w:val="00481E55"/>
    <w:rsid w:val="00482A78"/>
    <w:rsid w:val="004B0ECE"/>
    <w:rsid w:val="004C3AB0"/>
    <w:rsid w:val="004C53F6"/>
    <w:rsid w:val="004C59D6"/>
    <w:rsid w:val="004D35CE"/>
    <w:rsid w:val="004D7D98"/>
    <w:rsid w:val="004E437C"/>
    <w:rsid w:val="004F4241"/>
    <w:rsid w:val="004F691C"/>
    <w:rsid w:val="004F7739"/>
    <w:rsid w:val="00506B6E"/>
    <w:rsid w:val="00522033"/>
    <w:rsid w:val="00530F53"/>
    <w:rsid w:val="00541E3F"/>
    <w:rsid w:val="00542092"/>
    <w:rsid w:val="0054264A"/>
    <w:rsid w:val="00553B28"/>
    <w:rsid w:val="005555E0"/>
    <w:rsid w:val="00593CB3"/>
    <w:rsid w:val="0059789F"/>
    <w:rsid w:val="005A2798"/>
    <w:rsid w:val="005A3DD6"/>
    <w:rsid w:val="005B01F8"/>
    <w:rsid w:val="005B3618"/>
    <w:rsid w:val="005C3F1D"/>
    <w:rsid w:val="005D18E0"/>
    <w:rsid w:val="00612747"/>
    <w:rsid w:val="00613527"/>
    <w:rsid w:val="006150D5"/>
    <w:rsid w:val="00617681"/>
    <w:rsid w:val="00626378"/>
    <w:rsid w:val="00632724"/>
    <w:rsid w:val="00643498"/>
    <w:rsid w:val="006546D7"/>
    <w:rsid w:val="006551E3"/>
    <w:rsid w:val="00655694"/>
    <w:rsid w:val="006678BF"/>
    <w:rsid w:val="00681A8B"/>
    <w:rsid w:val="00691792"/>
    <w:rsid w:val="00692CE3"/>
    <w:rsid w:val="00694149"/>
    <w:rsid w:val="006948BC"/>
    <w:rsid w:val="00694E6D"/>
    <w:rsid w:val="006A675A"/>
    <w:rsid w:val="006B6648"/>
    <w:rsid w:val="006C1C96"/>
    <w:rsid w:val="006C3200"/>
    <w:rsid w:val="006C59C1"/>
    <w:rsid w:val="006C6AA9"/>
    <w:rsid w:val="006D338E"/>
    <w:rsid w:val="006E05EB"/>
    <w:rsid w:val="006E0874"/>
    <w:rsid w:val="006E18F7"/>
    <w:rsid w:val="006F2727"/>
    <w:rsid w:val="006F42C6"/>
    <w:rsid w:val="006F7065"/>
    <w:rsid w:val="0070139D"/>
    <w:rsid w:val="007030A5"/>
    <w:rsid w:val="00712F79"/>
    <w:rsid w:val="00714B25"/>
    <w:rsid w:val="00721C60"/>
    <w:rsid w:val="00725EF1"/>
    <w:rsid w:val="007307F3"/>
    <w:rsid w:val="00736C41"/>
    <w:rsid w:val="00737CB4"/>
    <w:rsid w:val="007432FB"/>
    <w:rsid w:val="00743FB8"/>
    <w:rsid w:val="0077118E"/>
    <w:rsid w:val="00777D31"/>
    <w:rsid w:val="00784879"/>
    <w:rsid w:val="00785866"/>
    <w:rsid w:val="00786DA6"/>
    <w:rsid w:val="007A1BFA"/>
    <w:rsid w:val="007A4698"/>
    <w:rsid w:val="007A4D92"/>
    <w:rsid w:val="007A6F9C"/>
    <w:rsid w:val="007A74C4"/>
    <w:rsid w:val="007B0009"/>
    <w:rsid w:val="007B0306"/>
    <w:rsid w:val="007B0F9C"/>
    <w:rsid w:val="007B349B"/>
    <w:rsid w:val="007C408D"/>
    <w:rsid w:val="007D5616"/>
    <w:rsid w:val="007D5C79"/>
    <w:rsid w:val="007E50BC"/>
    <w:rsid w:val="007E5D09"/>
    <w:rsid w:val="007F09C7"/>
    <w:rsid w:val="007F3081"/>
    <w:rsid w:val="007F6F6D"/>
    <w:rsid w:val="00804543"/>
    <w:rsid w:val="008202DA"/>
    <w:rsid w:val="00820893"/>
    <w:rsid w:val="00821F75"/>
    <w:rsid w:val="008541A2"/>
    <w:rsid w:val="00862579"/>
    <w:rsid w:val="0087315B"/>
    <w:rsid w:val="00880CCD"/>
    <w:rsid w:val="0088179D"/>
    <w:rsid w:val="00887300"/>
    <w:rsid w:val="008A1956"/>
    <w:rsid w:val="008A51D9"/>
    <w:rsid w:val="008A5ACE"/>
    <w:rsid w:val="008A6674"/>
    <w:rsid w:val="008A6E74"/>
    <w:rsid w:val="008C197A"/>
    <w:rsid w:val="008C4D60"/>
    <w:rsid w:val="008D70D9"/>
    <w:rsid w:val="008E62D7"/>
    <w:rsid w:val="008E68C7"/>
    <w:rsid w:val="008F06C6"/>
    <w:rsid w:val="008F4CD7"/>
    <w:rsid w:val="0090320C"/>
    <w:rsid w:val="009143BF"/>
    <w:rsid w:val="009150C7"/>
    <w:rsid w:val="00917075"/>
    <w:rsid w:val="009210A8"/>
    <w:rsid w:val="00926FF0"/>
    <w:rsid w:val="0092733F"/>
    <w:rsid w:val="009300D1"/>
    <w:rsid w:val="00956B58"/>
    <w:rsid w:val="00964A64"/>
    <w:rsid w:val="009805CD"/>
    <w:rsid w:val="00981F2A"/>
    <w:rsid w:val="009845C8"/>
    <w:rsid w:val="009935A4"/>
    <w:rsid w:val="009A6B0D"/>
    <w:rsid w:val="009C23EE"/>
    <w:rsid w:val="009C3242"/>
    <w:rsid w:val="009C3272"/>
    <w:rsid w:val="009C6769"/>
    <w:rsid w:val="009C7B7C"/>
    <w:rsid w:val="009D1571"/>
    <w:rsid w:val="009D7E5E"/>
    <w:rsid w:val="009F162B"/>
    <w:rsid w:val="009F1EE5"/>
    <w:rsid w:val="00A0696A"/>
    <w:rsid w:val="00A1352E"/>
    <w:rsid w:val="00A154AD"/>
    <w:rsid w:val="00A26EE9"/>
    <w:rsid w:val="00A4511B"/>
    <w:rsid w:val="00A668F2"/>
    <w:rsid w:val="00A67E33"/>
    <w:rsid w:val="00A71892"/>
    <w:rsid w:val="00A73D89"/>
    <w:rsid w:val="00A7424D"/>
    <w:rsid w:val="00A7748B"/>
    <w:rsid w:val="00A83BBE"/>
    <w:rsid w:val="00A923EC"/>
    <w:rsid w:val="00A93002"/>
    <w:rsid w:val="00AA1034"/>
    <w:rsid w:val="00AA2BA0"/>
    <w:rsid w:val="00AB1846"/>
    <w:rsid w:val="00AB34D9"/>
    <w:rsid w:val="00AD75A2"/>
    <w:rsid w:val="00AE00CD"/>
    <w:rsid w:val="00AE0239"/>
    <w:rsid w:val="00AE6E7A"/>
    <w:rsid w:val="00AF5C46"/>
    <w:rsid w:val="00AF5CE5"/>
    <w:rsid w:val="00B01048"/>
    <w:rsid w:val="00B14035"/>
    <w:rsid w:val="00B207B4"/>
    <w:rsid w:val="00B24A4B"/>
    <w:rsid w:val="00B24AAB"/>
    <w:rsid w:val="00B25BC2"/>
    <w:rsid w:val="00B25F9A"/>
    <w:rsid w:val="00B34099"/>
    <w:rsid w:val="00B44269"/>
    <w:rsid w:val="00B559FB"/>
    <w:rsid w:val="00B62EB7"/>
    <w:rsid w:val="00B64E03"/>
    <w:rsid w:val="00B6792A"/>
    <w:rsid w:val="00B8661B"/>
    <w:rsid w:val="00BA1AEA"/>
    <w:rsid w:val="00BA3F48"/>
    <w:rsid w:val="00BB3DDA"/>
    <w:rsid w:val="00BB6BAF"/>
    <w:rsid w:val="00BC16AE"/>
    <w:rsid w:val="00BC2598"/>
    <w:rsid w:val="00BC2766"/>
    <w:rsid w:val="00BD084D"/>
    <w:rsid w:val="00BE63BF"/>
    <w:rsid w:val="00BF05C3"/>
    <w:rsid w:val="00BF2692"/>
    <w:rsid w:val="00C00925"/>
    <w:rsid w:val="00C03FEC"/>
    <w:rsid w:val="00C23FBF"/>
    <w:rsid w:val="00C35A22"/>
    <w:rsid w:val="00C37797"/>
    <w:rsid w:val="00C37816"/>
    <w:rsid w:val="00C446A6"/>
    <w:rsid w:val="00C44F7B"/>
    <w:rsid w:val="00C52F05"/>
    <w:rsid w:val="00C53BFA"/>
    <w:rsid w:val="00C5575E"/>
    <w:rsid w:val="00C574A7"/>
    <w:rsid w:val="00C618BC"/>
    <w:rsid w:val="00C7543D"/>
    <w:rsid w:val="00C840DE"/>
    <w:rsid w:val="00C93B5B"/>
    <w:rsid w:val="00C96836"/>
    <w:rsid w:val="00C971E2"/>
    <w:rsid w:val="00CA092A"/>
    <w:rsid w:val="00CA0B01"/>
    <w:rsid w:val="00CB22A0"/>
    <w:rsid w:val="00CB2E00"/>
    <w:rsid w:val="00CB5A8E"/>
    <w:rsid w:val="00CC1A04"/>
    <w:rsid w:val="00CE0C71"/>
    <w:rsid w:val="00CE4DF9"/>
    <w:rsid w:val="00CE516C"/>
    <w:rsid w:val="00CF48F9"/>
    <w:rsid w:val="00CF566E"/>
    <w:rsid w:val="00D037D9"/>
    <w:rsid w:val="00D14B97"/>
    <w:rsid w:val="00D15C13"/>
    <w:rsid w:val="00D16A2C"/>
    <w:rsid w:val="00D33172"/>
    <w:rsid w:val="00D37169"/>
    <w:rsid w:val="00D44817"/>
    <w:rsid w:val="00D44F78"/>
    <w:rsid w:val="00D55182"/>
    <w:rsid w:val="00D636B8"/>
    <w:rsid w:val="00D64DAB"/>
    <w:rsid w:val="00D71A81"/>
    <w:rsid w:val="00D73D7C"/>
    <w:rsid w:val="00D747B7"/>
    <w:rsid w:val="00D813FF"/>
    <w:rsid w:val="00D84408"/>
    <w:rsid w:val="00D859F1"/>
    <w:rsid w:val="00D93A1A"/>
    <w:rsid w:val="00D96B58"/>
    <w:rsid w:val="00DA57B3"/>
    <w:rsid w:val="00DA5E63"/>
    <w:rsid w:val="00DA6B19"/>
    <w:rsid w:val="00DB051B"/>
    <w:rsid w:val="00DC3969"/>
    <w:rsid w:val="00DD6F29"/>
    <w:rsid w:val="00DE250E"/>
    <w:rsid w:val="00DF0A3C"/>
    <w:rsid w:val="00DF0F57"/>
    <w:rsid w:val="00DF4339"/>
    <w:rsid w:val="00DF65CE"/>
    <w:rsid w:val="00E12002"/>
    <w:rsid w:val="00E20E35"/>
    <w:rsid w:val="00E252C8"/>
    <w:rsid w:val="00E320AD"/>
    <w:rsid w:val="00E32A85"/>
    <w:rsid w:val="00E3656B"/>
    <w:rsid w:val="00E410C7"/>
    <w:rsid w:val="00E43A2D"/>
    <w:rsid w:val="00E4420B"/>
    <w:rsid w:val="00E55914"/>
    <w:rsid w:val="00E65916"/>
    <w:rsid w:val="00E66D3C"/>
    <w:rsid w:val="00E80151"/>
    <w:rsid w:val="00E8349D"/>
    <w:rsid w:val="00E862E9"/>
    <w:rsid w:val="00E93D30"/>
    <w:rsid w:val="00E94DB2"/>
    <w:rsid w:val="00E95C34"/>
    <w:rsid w:val="00EA1555"/>
    <w:rsid w:val="00EA5213"/>
    <w:rsid w:val="00EA5580"/>
    <w:rsid w:val="00EB0F7E"/>
    <w:rsid w:val="00EC227A"/>
    <w:rsid w:val="00EC5460"/>
    <w:rsid w:val="00EC6CC8"/>
    <w:rsid w:val="00ED1B23"/>
    <w:rsid w:val="00ED36D0"/>
    <w:rsid w:val="00ED750A"/>
    <w:rsid w:val="00F07393"/>
    <w:rsid w:val="00F13A81"/>
    <w:rsid w:val="00F2426B"/>
    <w:rsid w:val="00F271BB"/>
    <w:rsid w:val="00F2733F"/>
    <w:rsid w:val="00F3233D"/>
    <w:rsid w:val="00F35EC9"/>
    <w:rsid w:val="00F372C3"/>
    <w:rsid w:val="00F41FF6"/>
    <w:rsid w:val="00F44D53"/>
    <w:rsid w:val="00F634FA"/>
    <w:rsid w:val="00F707C0"/>
    <w:rsid w:val="00F74D67"/>
    <w:rsid w:val="00F82AAA"/>
    <w:rsid w:val="00F90E4E"/>
    <w:rsid w:val="00F92EBA"/>
    <w:rsid w:val="00FB5B6B"/>
    <w:rsid w:val="00FB72A9"/>
    <w:rsid w:val="00FC66CE"/>
    <w:rsid w:val="00FD3E89"/>
    <w:rsid w:val="00FE06FF"/>
    <w:rsid w:val="00FE45C1"/>
    <w:rsid w:val="00FF0261"/>
    <w:rsid w:val="00FF51A5"/>
    <w:rsid w:val="00FF6490"/>
    <w:rsid w:val="00FF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FCB3E"/>
  <w15:docId w15:val="{C0452D72-F96F-4D5D-9175-CACBF940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E70"/>
    <w:pPr>
      <w:ind w:left="720"/>
      <w:contextualSpacing/>
    </w:pPr>
  </w:style>
  <w:style w:type="paragraph" w:styleId="BalloonText">
    <w:name w:val="Balloon Text"/>
    <w:basedOn w:val="Normal"/>
    <w:link w:val="BalloonTextChar"/>
    <w:uiPriority w:val="99"/>
    <w:semiHidden/>
    <w:unhideWhenUsed/>
    <w:rsid w:val="00ED7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50A"/>
    <w:rPr>
      <w:rFonts w:ascii="Segoe UI" w:hAnsi="Segoe UI" w:cs="Segoe UI"/>
      <w:sz w:val="18"/>
      <w:szCs w:val="18"/>
    </w:rPr>
  </w:style>
  <w:style w:type="paragraph" w:customStyle="1" w:styleId="Default">
    <w:name w:val="Default"/>
    <w:rsid w:val="007A4D9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551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1E3"/>
    <w:rPr>
      <w:sz w:val="20"/>
      <w:szCs w:val="20"/>
    </w:rPr>
  </w:style>
  <w:style w:type="character" w:styleId="FootnoteReference">
    <w:name w:val="footnote reference"/>
    <w:basedOn w:val="DefaultParagraphFont"/>
    <w:uiPriority w:val="99"/>
    <w:semiHidden/>
    <w:unhideWhenUsed/>
    <w:rsid w:val="006551E3"/>
    <w:rPr>
      <w:vertAlign w:val="superscript"/>
    </w:rPr>
  </w:style>
  <w:style w:type="paragraph" w:styleId="Header">
    <w:name w:val="header"/>
    <w:basedOn w:val="Normal"/>
    <w:link w:val="HeaderChar"/>
    <w:uiPriority w:val="99"/>
    <w:unhideWhenUsed/>
    <w:rsid w:val="00E93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30"/>
  </w:style>
  <w:style w:type="paragraph" w:styleId="Footer">
    <w:name w:val="footer"/>
    <w:basedOn w:val="Normal"/>
    <w:link w:val="FooterChar"/>
    <w:uiPriority w:val="99"/>
    <w:unhideWhenUsed/>
    <w:rsid w:val="00E93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30"/>
  </w:style>
  <w:style w:type="character" w:styleId="CommentReference">
    <w:name w:val="annotation reference"/>
    <w:basedOn w:val="DefaultParagraphFont"/>
    <w:uiPriority w:val="99"/>
    <w:semiHidden/>
    <w:unhideWhenUsed/>
    <w:rsid w:val="00CB2E00"/>
    <w:rPr>
      <w:sz w:val="16"/>
      <w:szCs w:val="16"/>
    </w:rPr>
  </w:style>
  <w:style w:type="paragraph" w:styleId="CommentText">
    <w:name w:val="annotation text"/>
    <w:basedOn w:val="Normal"/>
    <w:link w:val="CommentTextChar"/>
    <w:uiPriority w:val="99"/>
    <w:semiHidden/>
    <w:unhideWhenUsed/>
    <w:rsid w:val="00CB2E00"/>
    <w:pPr>
      <w:spacing w:line="240" w:lineRule="auto"/>
    </w:pPr>
    <w:rPr>
      <w:sz w:val="20"/>
      <w:szCs w:val="20"/>
    </w:rPr>
  </w:style>
  <w:style w:type="character" w:customStyle="1" w:styleId="CommentTextChar">
    <w:name w:val="Comment Text Char"/>
    <w:basedOn w:val="DefaultParagraphFont"/>
    <w:link w:val="CommentText"/>
    <w:uiPriority w:val="99"/>
    <w:semiHidden/>
    <w:rsid w:val="00CB2E00"/>
    <w:rPr>
      <w:sz w:val="20"/>
      <w:szCs w:val="20"/>
    </w:rPr>
  </w:style>
  <w:style w:type="paragraph" w:styleId="CommentSubject">
    <w:name w:val="annotation subject"/>
    <w:basedOn w:val="CommentText"/>
    <w:next w:val="CommentText"/>
    <w:link w:val="CommentSubjectChar"/>
    <w:uiPriority w:val="99"/>
    <w:semiHidden/>
    <w:unhideWhenUsed/>
    <w:rsid w:val="00CB2E00"/>
    <w:rPr>
      <w:b/>
      <w:bCs/>
    </w:rPr>
  </w:style>
  <w:style w:type="character" w:customStyle="1" w:styleId="CommentSubjectChar">
    <w:name w:val="Comment Subject Char"/>
    <w:basedOn w:val="CommentTextChar"/>
    <w:link w:val="CommentSubject"/>
    <w:uiPriority w:val="99"/>
    <w:semiHidden/>
    <w:rsid w:val="00CB2E00"/>
    <w:rPr>
      <w:b/>
      <w:bCs/>
      <w:sz w:val="20"/>
      <w:szCs w:val="20"/>
    </w:rPr>
  </w:style>
  <w:style w:type="character" w:styleId="Hyperlink">
    <w:name w:val="Hyperlink"/>
    <w:basedOn w:val="DefaultParagraphFont"/>
    <w:uiPriority w:val="99"/>
    <w:unhideWhenUsed/>
    <w:rsid w:val="00E95C34"/>
    <w:rPr>
      <w:color w:val="0563C1" w:themeColor="hyperlink"/>
      <w:u w:val="single"/>
    </w:rPr>
  </w:style>
  <w:style w:type="character" w:styleId="UnresolvedMention">
    <w:name w:val="Unresolved Mention"/>
    <w:basedOn w:val="DefaultParagraphFont"/>
    <w:uiPriority w:val="99"/>
    <w:semiHidden/>
    <w:unhideWhenUsed/>
    <w:rsid w:val="00E95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5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gate.net/publication/368277291_Forest_Fire_Prevention_or_Forest_Resiliency_Monitoring_Report_on_the_1038_Forest_Fire_Prevention_Exemp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of.fire.ca.gov/media/dvlputmk/full-10-e-exemption-and-emergency-monitoring-report_ada.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media/lm3lxh30/report-on-exempt-timber-harvesting-for-the-reduction-of-fire-hazard-within-150-feet-of-structures_ada.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626177D185D40A7F4A91D52AB19E4" ma:contentTypeVersion="5" ma:contentTypeDescription="Create a new document." ma:contentTypeScope="" ma:versionID="cf57fe33acd88880388e9588feb25aaf">
  <xsd:schema xmlns:xsd="http://www.w3.org/2001/XMLSchema" xmlns:xs="http://www.w3.org/2001/XMLSchema" xmlns:p="http://schemas.microsoft.com/office/2006/metadata/properties" xmlns:ns3="5999079f-78a3-40c8-b0d3-b21f0a5f9de9" xmlns:ns4="50c285d6-090b-4878-9533-d90334e7ef5c" targetNamespace="http://schemas.microsoft.com/office/2006/metadata/properties" ma:root="true" ma:fieldsID="90a4da1ffb96c4cc0d6d5029f259cc05" ns3:_="" ns4:_="">
    <xsd:import namespace="5999079f-78a3-40c8-b0d3-b21f0a5f9de9"/>
    <xsd:import namespace="50c285d6-090b-4878-9533-d90334e7ef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9079f-78a3-40c8-b0d3-b21f0a5f9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285d6-090b-4878-9533-d90334e7ef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D9716-1592-4213-9555-BECBF427CCCC}">
  <ds:schemaRefs>
    <ds:schemaRef ds:uri="http://schemas.microsoft.com/sharepoint/v3/contenttype/forms"/>
  </ds:schemaRefs>
</ds:datastoreItem>
</file>

<file path=customXml/itemProps2.xml><?xml version="1.0" encoding="utf-8"?>
<ds:datastoreItem xmlns:ds="http://schemas.openxmlformats.org/officeDocument/2006/customXml" ds:itemID="{80A08278-86B3-4B27-BDF5-DC676451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9079f-78a3-40c8-b0d3-b21f0a5f9de9"/>
    <ds:schemaRef ds:uri="50c285d6-090b-4878-9533-d90334e7e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F7002-1540-4D8F-BDFB-8F192519D618}">
  <ds:schemaRefs>
    <ds:schemaRef ds:uri="http://schemas.openxmlformats.org/officeDocument/2006/bibliography"/>
  </ds:schemaRefs>
</ds:datastoreItem>
</file>

<file path=customXml/itemProps4.xml><?xml version="1.0" encoding="utf-8"?>
<ds:datastoreItem xmlns:ds="http://schemas.openxmlformats.org/officeDocument/2006/customXml" ds:itemID="{1BE5C014-419B-4C9A-8692-83FEA8E3B8C2}">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50c285d6-090b-4878-9533-d90334e7ef5c"/>
    <ds:schemaRef ds:uri="5999079f-78a3-40c8-b0d3-b21f0a5f9de9"/>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1547</Words>
  <Characters>8820</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Drew@CALFIRE</dc:creator>
  <cp:keywords/>
  <dc:description/>
  <cp:lastModifiedBy>Kemp, Mazonika@BOF</cp:lastModifiedBy>
  <cp:revision>3</cp:revision>
  <dcterms:created xsi:type="dcterms:W3CDTF">2025-03-20T20:04:00Z</dcterms:created>
  <dcterms:modified xsi:type="dcterms:W3CDTF">2025-03-20T20:05:00Z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0x01010060B626177D185D40A7F4A91D52AB19E4</vt:lpwstr>
  </property>
</Properties>
</file>