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06" w:rsidRPr="00845C06" w:rsidRDefault="00845C06" w:rsidP="00845C06">
      <w:pPr>
        <w:spacing w:after="0" w:line="508" w:lineRule="auto"/>
        <w:rPr>
          <w:rFonts w:ascii="Arial" w:hAnsi="Arial" w:cs="Arial"/>
          <w:color w:val="FFFFFF" w:themeColor="background1"/>
          <w:sz w:val="10"/>
          <w:szCs w:val="24"/>
        </w:rPr>
      </w:pPr>
      <w:bookmarkStart w:id="0" w:name="_GoBack"/>
      <w:bookmarkEnd w:id="0"/>
      <w:r w:rsidRPr="00845C06">
        <w:rPr>
          <w:rFonts w:ascii="Arial" w:hAnsi="Arial" w:cs="Arial"/>
          <w:color w:val="FFFFFF" w:themeColor="background1"/>
          <w:sz w:val="10"/>
          <w:szCs w:val="24"/>
        </w:rPr>
        <w:t>Accessibility Note: This document uses underlined and strike-through text to indicate proposed additions and deletions, respectively. Please adjust your screen reader settings accordingly.</w:t>
      </w:r>
    </w:p>
    <w:p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Board of Forestry and Fire Protection</w:t>
      </w:r>
    </w:p>
    <w:p w:rsidR="00845C06" w:rsidRPr="00845C06" w:rsidRDefault="00DD7F73" w:rsidP="00845C06">
      <w:pPr>
        <w:spacing w:after="0" w:line="508" w:lineRule="auto"/>
        <w:jc w:val="center"/>
        <w:rPr>
          <w:rFonts w:ascii="Arial" w:hAnsi="Arial" w:cs="Arial"/>
          <w:b/>
          <w:sz w:val="24"/>
          <w:szCs w:val="24"/>
        </w:rPr>
      </w:pPr>
      <w:r>
        <w:rPr>
          <w:rFonts w:ascii="Arial" w:hAnsi="Arial" w:cs="Arial"/>
          <w:b/>
          <w:sz w:val="24"/>
          <w:szCs w:val="24"/>
        </w:rPr>
        <w:t>“</w:t>
      </w:r>
      <w:r w:rsidR="00845C06" w:rsidRPr="00845C06">
        <w:rPr>
          <w:rFonts w:ascii="Arial" w:hAnsi="Arial" w:cs="Arial"/>
          <w:b/>
          <w:sz w:val="24"/>
          <w:szCs w:val="24"/>
        </w:rPr>
        <w:t xml:space="preserve">Minimum Stocking Standards </w:t>
      </w:r>
      <w:r>
        <w:rPr>
          <w:rFonts w:ascii="Arial" w:hAnsi="Arial" w:cs="Arial"/>
          <w:b/>
          <w:sz w:val="24"/>
          <w:szCs w:val="24"/>
        </w:rPr>
        <w:t>Section 100”</w:t>
      </w:r>
    </w:p>
    <w:p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Title 14, California Code of Regulations</w:t>
      </w:r>
    </w:p>
    <w:p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Division 1.5, Chapter 4,</w:t>
      </w:r>
    </w:p>
    <w:p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Subchapter 7, Article 5</w:t>
      </w:r>
    </w:p>
    <w:p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Amend: § 1071</w:t>
      </w:r>
    </w:p>
    <w:p w:rsidR="00845C06" w:rsidRPr="00845C06" w:rsidRDefault="00845C06" w:rsidP="00845C06">
      <w:pPr>
        <w:spacing w:after="0" w:line="508" w:lineRule="auto"/>
        <w:rPr>
          <w:rFonts w:ascii="Arial" w:hAnsi="Arial" w:cs="Arial"/>
          <w:sz w:val="24"/>
          <w:szCs w:val="24"/>
        </w:rPr>
      </w:pPr>
    </w:p>
    <w:p w:rsidR="00845C06" w:rsidRPr="00845C06" w:rsidRDefault="00845C06" w:rsidP="00845C06">
      <w:pPr>
        <w:spacing w:after="0" w:line="508" w:lineRule="auto"/>
        <w:rPr>
          <w:rFonts w:ascii="Arial" w:hAnsi="Arial" w:cs="Arial"/>
          <w:b/>
          <w:sz w:val="24"/>
          <w:szCs w:val="24"/>
        </w:rPr>
      </w:pPr>
      <w:r w:rsidRPr="00845C06">
        <w:rPr>
          <w:rFonts w:ascii="Arial" w:hAnsi="Arial" w:cs="Arial"/>
          <w:b/>
          <w:sz w:val="24"/>
          <w:szCs w:val="24"/>
        </w:rPr>
        <w:t>§ 1071. Minimum Stocking Standards.</w:t>
      </w:r>
    </w:p>
    <w:p w:rsidR="00845C06" w:rsidRPr="00845C06" w:rsidRDefault="00845C06" w:rsidP="00845C06">
      <w:pPr>
        <w:spacing w:after="0" w:line="508" w:lineRule="auto"/>
        <w:rPr>
          <w:rFonts w:ascii="Arial" w:hAnsi="Arial" w:cs="Arial"/>
          <w:sz w:val="24"/>
          <w:szCs w:val="24"/>
        </w:rPr>
      </w:pPr>
      <w:r w:rsidRPr="00845C06">
        <w:rPr>
          <w:rFonts w:ascii="Arial" w:hAnsi="Arial" w:cs="Arial"/>
          <w:sz w:val="24"/>
          <w:szCs w:val="24"/>
        </w:rPr>
        <w:t>Within five years after the completion of Timber Operations or as otherwise specified in the Rules, a report of Stocking on the entire area logged under the Plan and shown on a revised map shall be filed with the Director by the Timber Owner or the agent thereof. If Stocking is required to be met upon completion of Timber Operations the Stocking report shall be submitted within six months of the completion of operations.</w:t>
      </w:r>
    </w:p>
    <w:p w:rsidR="00845C06" w:rsidRPr="00845C06" w:rsidRDefault="00845C06" w:rsidP="00845C06">
      <w:pPr>
        <w:spacing w:after="0" w:line="508" w:lineRule="auto"/>
        <w:rPr>
          <w:rFonts w:ascii="Arial" w:hAnsi="Arial" w:cs="Arial"/>
          <w:sz w:val="24"/>
          <w:szCs w:val="24"/>
        </w:rPr>
      </w:pPr>
    </w:p>
    <w:p w:rsidR="00845C06" w:rsidRPr="00845C06" w:rsidRDefault="00845C06" w:rsidP="00845C06">
      <w:pPr>
        <w:spacing w:after="0" w:line="508" w:lineRule="auto"/>
        <w:rPr>
          <w:rFonts w:ascii="Arial" w:hAnsi="Arial" w:cs="Arial"/>
          <w:sz w:val="24"/>
          <w:szCs w:val="24"/>
        </w:rPr>
      </w:pPr>
      <w:r w:rsidRPr="00845C06">
        <w:rPr>
          <w:rFonts w:ascii="Arial" w:hAnsi="Arial" w:cs="Arial"/>
          <w:sz w:val="24"/>
          <w:szCs w:val="24"/>
        </w:rPr>
        <w:t>The minimum acceptable Stocking Standards on logged areas which were acceptably stocked prior to harvest are those specified in the Coast, Northern and Southern Forest District Rules. If not otherwise specified, the following minimum standards apply:</w:t>
      </w:r>
    </w:p>
    <w:p w:rsidR="00845C06" w:rsidRPr="00845C06" w:rsidRDefault="00845C06" w:rsidP="00845C06">
      <w:pPr>
        <w:spacing w:after="0" w:line="508" w:lineRule="auto"/>
        <w:rPr>
          <w:rFonts w:ascii="Arial" w:hAnsi="Arial" w:cs="Arial"/>
          <w:sz w:val="24"/>
          <w:szCs w:val="24"/>
        </w:rPr>
      </w:pPr>
      <w:r w:rsidRPr="00845C06">
        <w:rPr>
          <w:rFonts w:ascii="Arial" w:hAnsi="Arial" w:cs="Arial"/>
          <w:sz w:val="24"/>
          <w:szCs w:val="24"/>
        </w:rPr>
        <w:t xml:space="preserve">(a) On Site I Timberlands as defined by the Board, the average residual basal area, measured in stems one inch or larger in Diameter shall be at least 85 square feet per </w:t>
      </w:r>
      <w:r>
        <w:rPr>
          <w:rFonts w:ascii="Arial" w:hAnsi="Arial" w:cs="Arial"/>
          <w:sz w:val="24"/>
          <w:szCs w:val="24"/>
        </w:rPr>
        <w:t>a</w:t>
      </w:r>
      <w:r w:rsidRPr="00845C06">
        <w:rPr>
          <w:rFonts w:ascii="Arial" w:hAnsi="Arial" w:cs="Arial"/>
          <w:sz w:val="24"/>
          <w:szCs w:val="24"/>
        </w:rPr>
        <w:t>cre; or on Site II or lower shall be at least 50 square feet per acre; or</w:t>
      </w:r>
    </w:p>
    <w:p w:rsidR="00845C06" w:rsidRPr="00845C06" w:rsidRDefault="00845C06" w:rsidP="00845C06">
      <w:pPr>
        <w:spacing w:after="0" w:line="508" w:lineRule="auto"/>
        <w:rPr>
          <w:rFonts w:ascii="Arial" w:hAnsi="Arial" w:cs="Arial"/>
          <w:sz w:val="24"/>
          <w:szCs w:val="24"/>
        </w:rPr>
      </w:pPr>
      <w:r w:rsidRPr="00845C06">
        <w:rPr>
          <w:rFonts w:ascii="Arial" w:hAnsi="Arial" w:cs="Arial"/>
          <w:sz w:val="24"/>
          <w:szCs w:val="24"/>
        </w:rPr>
        <w:lastRenderedPageBreak/>
        <w:t>(b) The area contains an average point count</w:t>
      </w:r>
      <w:r w:rsidRPr="00845C06">
        <w:rPr>
          <w:rFonts w:ascii="Arial" w:hAnsi="Arial" w:cs="Arial"/>
          <w:strike/>
          <w:sz w:val="24"/>
          <w:szCs w:val="24"/>
        </w:rPr>
        <w:t xml:space="preserve"> of 300 per acre on Site I, II, and III lands or 150 on Site IV and V lands</w:t>
      </w:r>
      <w:r w:rsidRPr="00845C06">
        <w:rPr>
          <w:rFonts w:ascii="Arial" w:hAnsi="Arial" w:cs="Arial"/>
          <w:sz w:val="24"/>
          <w:szCs w:val="24"/>
        </w:rPr>
        <w:t xml:space="preserve"> as specified </w:t>
      </w:r>
      <w:r w:rsidR="00DD7F73" w:rsidRPr="00DD7F73">
        <w:rPr>
          <w:rFonts w:ascii="Arial" w:hAnsi="Arial" w:cs="Arial"/>
          <w:sz w:val="24"/>
          <w:szCs w:val="24"/>
        </w:rPr>
        <w:t>in</w:t>
      </w:r>
      <w:r w:rsidR="00DD7F73" w:rsidRPr="00DD7F73">
        <w:rPr>
          <w:rFonts w:ascii="Arial" w:hAnsi="Arial" w:cs="Arial"/>
          <w:sz w:val="24"/>
          <w:szCs w:val="24"/>
          <w:u w:val="single"/>
        </w:rPr>
        <w:t xml:space="preserve"> </w:t>
      </w:r>
      <w:r>
        <w:rPr>
          <w:rFonts w:ascii="Arial" w:hAnsi="Arial" w:cs="Arial"/>
          <w:sz w:val="24"/>
          <w:szCs w:val="24"/>
          <w:u w:val="single"/>
        </w:rPr>
        <w:t>14 CCR §§ 912.7, 932.7, or 952.7, as appropriate</w:t>
      </w:r>
      <w:r w:rsidR="00DD7F73">
        <w:rPr>
          <w:rFonts w:ascii="Arial" w:hAnsi="Arial" w:cs="Arial"/>
          <w:strike/>
          <w:sz w:val="24"/>
          <w:szCs w:val="24"/>
        </w:rPr>
        <w:t xml:space="preserve"> </w:t>
      </w:r>
      <w:r w:rsidRPr="00845C06">
        <w:rPr>
          <w:rFonts w:ascii="Arial" w:hAnsi="Arial" w:cs="Arial"/>
          <w:strike/>
          <w:sz w:val="24"/>
          <w:szCs w:val="24"/>
        </w:rPr>
        <w:t>PRC § 4561</w:t>
      </w:r>
      <w:r w:rsidRPr="00845C06">
        <w:rPr>
          <w:rFonts w:ascii="Arial" w:hAnsi="Arial" w:cs="Arial"/>
          <w:sz w:val="24"/>
          <w:szCs w:val="24"/>
        </w:rPr>
        <w:t>.</w:t>
      </w:r>
    </w:p>
    <w:p w:rsidR="00845C06" w:rsidRPr="00845C06" w:rsidRDefault="00845C06" w:rsidP="00845C06">
      <w:pPr>
        <w:spacing w:after="0" w:line="508" w:lineRule="auto"/>
        <w:rPr>
          <w:rFonts w:ascii="Arial" w:hAnsi="Arial" w:cs="Arial"/>
          <w:sz w:val="24"/>
          <w:szCs w:val="24"/>
        </w:rPr>
      </w:pPr>
      <w:r w:rsidRPr="00845C06">
        <w:rPr>
          <w:rFonts w:ascii="Arial" w:hAnsi="Arial" w:cs="Arial"/>
          <w:sz w:val="24"/>
          <w:szCs w:val="24"/>
        </w:rPr>
        <w:t>See 14 CCR §§ 912.7, 932.7 and 952.7 for information for the point count values of various size trees and for determining how sprouts will be counted toward meeting Stocking requirements.</w:t>
      </w:r>
    </w:p>
    <w:p w:rsidR="00845C06" w:rsidRPr="00845C06" w:rsidRDefault="00845C06" w:rsidP="00845C06">
      <w:pPr>
        <w:spacing w:after="0" w:line="508" w:lineRule="auto"/>
        <w:rPr>
          <w:rFonts w:ascii="Arial" w:hAnsi="Arial" w:cs="Arial"/>
          <w:sz w:val="24"/>
          <w:szCs w:val="24"/>
        </w:rPr>
      </w:pPr>
    </w:p>
    <w:p w:rsidR="00FB31EB" w:rsidRPr="00845C06" w:rsidRDefault="00845C06" w:rsidP="00DD7F73">
      <w:pPr>
        <w:spacing w:after="0" w:line="508" w:lineRule="auto"/>
        <w:rPr>
          <w:rFonts w:ascii="Arial" w:hAnsi="Arial" w:cs="Arial"/>
          <w:sz w:val="24"/>
          <w:szCs w:val="24"/>
        </w:rPr>
      </w:pPr>
      <w:r w:rsidRPr="00845C06">
        <w:rPr>
          <w:rFonts w:ascii="Arial" w:hAnsi="Arial" w:cs="Arial"/>
          <w:sz w:val="24"/>
          <w:szCs w:val="24"/>
        </w:rPr>
        <w:t>Note: Authority cited: Sections 4551</w:t>
      </w:r>
      <w:r w:rsidR="00DD7F73">
        <w:rPr>
          <w:rFonts w:ascii="Arial" w:hAnsi="Arial" w:cs="Arial"/>
          <w:sz w:val="24"/>
          <w:szCs w:val="24"/>
          <w:u w:val="single"/>
        </w:rPr>
        <w:t>,</w:t>
      </w:r>
      <w:r w:rsidRPr="00DD7F73">
        <w:rPr>
          <w:rFonts w:ascii="Arial" w:hAnsi="Arial" w:cs="Arial"/>
          <w:strike/>
          <w:sz w:val="24"/>
          <w:szCs w:val="24"/>
        </w:rPr>
        <w:t xml:space="preserve"> and</w:t>
      </w:r>
      <w:r w:rsidRPr="00845C06">
        <w:rPr>
          <w:rFonts w:ascii="Arial" w:hAnsi="Arial" w:cs="Arial"/>
          <w:sz w:val="24"/>
          <w:szCs w:val="24"/>
        </w:rPr>
        <w:t xml:space="preserve"> 4561.1</w:t>
      </w:r>
      <w:r w:rsidR="00DD7F73">
        <w:rPr>
          <w:rFonts w:ascii="Arial" w:hAnsi="Arial" w:cs="Arial"/>
          <w:sz w:val="24"/>
          <w:szCs w:val="24"/>
          <w:u w:val="single"/>
        </w:rPr>
        <w:t xml:space="preserve"> and 4561.2</w:t>
      </w:r>
      <w:r w:rsidRPr="00845C06">
        <w:rPr>
          <w:rFonts w:ascii="Arial" w:hAnsi="Arial" w:cs="Arial"/>
          <w:sz w:val="24"/>
          <w:szCs w:val="24"/>
        </w:rPr>
        <w:t>, Public Resources Code. Reference: Sections 4561</w:t>
      </w:r>
      <w:r w:rsidR="00DD7F73">
        <w:rPr>
          <w:rFonts w:ascii="Arial" w:hAnsi="Arial" w:cs="Arial"/>
          <w:sz w:val="24"/>
          <w:szCs w:val="24"/>
          <w:u w:val="single"/>
        </w:rPr>
        <w:t>,</w:t>
      </w:r>
      <w:r w:rsidRPr="00845C06">
        <w:rPr>
          <w:rFonts w:ascii="Arial" w:hAnsi="Arial" w:cs="Arial"/>
          <w:sz w:val="24"/>
          <w:szCs w:val="24"/>
        </w:rPr>
        <w:t xml:space="preserve"> </w:t>
      </w:r>
      <w:r w:rsidRPr="00DD7F73">
        <w:rPr>
          <w:rFonts w:ascii="Arial" w:hAnsi="Arial" w:cs="Arial"/>
          <w:strike/>
          <w:sz w:val="24"/>
          <w:szCs w:val="24"/>
        </w:rPr>
        <w:t>and</w:t>
      </w:r>
      <w:r w:rsidRPr="00845C06">
        <w:rPr>
          <w:rFonts w:ascii="Arial" w:hAnsi="Arial" w:cs="Arial"/>
          <w:sz w:val="24"/>
          <w:szCs w:val="24"/>
        </w:rPr>
        <w:t xml:space="preserve"> 4</w:t>
      </w:r>
      <w:r w:rsidRPr="00DD7F73">
        <w:rPr>
          <w:rFonts w:ascii="Arial" w:hAnsi="Arial" w:cs="Arial"/>
          <w:strike/>
          <w:sz w:val="24"/>
          <w:szCs w:val="24"/>
        </w:rPr>
        <w:t>3</w:t>
      </w:r>
      <w:r w:rsidRPr="00845C06">
        <w:rPr>
          <w:rFonts w:ascii="Arial" w:hAnsi="Arial" w:cs="Arial"/>
          <w:sz w:val="24"/>
          <w:szCs w:val="24"/>
        </w:rPr>
        <w:t>561.1</w:t>
      </w:r>
      <w:r w:rsidR="00DD7F73">
        <w:rPr>
          <w:rFonts w:ascii="Arial" w:hAnsi="Arial" w:cs="Arial"/>
          <w:sz w:val="24"/>
          <w:szCs w:val="24"/>
          <w:u w:val="single"/>
        </w:rPr>
        <w:t xml:space="preserve"> and 4561.2</w:t>
      </w:r>
      <w:r w:rsidRPr="00845C06">
        <w:rPr>
          <w:rFonts w:ascii="Arial" w:hAnsi="Arial" w:cs="Arial"/>
          <w:sz w:val="24"/>
          <w:szCs w:val="24"/>
        </w:rPr>
        <w:t>, Public Resources Code.</w:t>
      </w:r>
      <w:r w:rsidRPr="00845C06">
        <w:rPr>
          <w:rFonts w:ascii="Arial" w:hAnsi="Arial" w:cs="Arial"/>
          <w:sz w:val="24"/>
          <w:szCs w:val="24"/>
        </w:rPr>
        <w:tab/>
      </w:r>
    </w:p>
    <w:sectPr w:rsidR="00FB31EB" w:rsidRPr="00845C06" w:rsidSect="00845C06">
      <w:head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C06" w:rsidRDefault="00845C06" w:rsidP="00845C06">
      <w:pPr>
        <w:spacing w:after="0" w:line="240" w:lineRule="auto"/>
      </w:pPr>
      <w:r>
        <w:separator/>
      </w:r>
    </w:p>
  </w:endnote>
  <w:endnote w:type="continuationSeparator" w:id="0">
    <w:p w:rsidR="00845C06" w:rsidRDefault="00845C06" w:rsidP="0084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C06" w:rsidRDefault="00845C06" w:rsidP="00845C06">
      <w:pPr>
        <w:spacing w:after="0" w:line="240" w:lineRule="auto"/>
      </w:pPr>
      <w:r>
        <w:separator/>
      </w:r>
    </w:p>
  </w:footnote>
  <w:footnote w:type="continuationSeparator" w:id="0">
    <w:p w:rsidR="00845C06" w:rsidRDefault="00845C06" w:rsidP="0084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C06" w:rsidRDefault="00845C06" w:rsidP="00845C06">
    <w:pPr>
      <w:pStyle w:val="Header"/>
    </w:pPr>
    <w:r>
      <w:rPr>
        <w:noProof/>
      </w:rPr>
      <mc:AlternateContent>
        <mc:Choice Requires="wps">
          <w:drawing>
            <wp:anchor distT="0" distB="0" distL="114300" distR="114300" simplePos="0" relativeHeight="251661312"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12A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D890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31C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rsidR="00845C06" w:rsidRDefault="00845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pyHt2QxwDC0gIDygix57uVYRw9HSiMVNrpTB7Fj3AeeGHJWTaZPpNr2JICgTio2ufMYkZdfcQwqGkSv/F+wpw==" w:salt="cHnrAiCL5RsgyLVCIbgZ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06"/>
    <w:rsid w:val="003501FE"/>
    <w:rsid w:val="004E7511"/>
    <w:rsid w:val="00845C06"/>
    <w:rsid w:val="00DD7F73"/>
    <w:rsid w:val="00F10BE2"/>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C328B"/>
  <w15:chartTrackingRefBased/>
  <w15:docId w15:val="{A1E3A335-7DF6-4400-A070-AE91BF15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06"/>
  </w:style>
  <w:style w:type="paragraph" w:styleId="Footer">
    <w:name w:val="footer"/>
    <w:basedOn w:val="Normal"/>
    <w:link w:val="FooterChar"/>
    <w:uiPriority w:val="99"/>
    <w:unhideWhenUsed/>
    <w:rsid w:val="0084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06"/>
  </w:style>
  <w:style w:type="character" w:styleId="LineNumber">
    <w:name w:val="line number"/>
    <w:basedOn w:val="DefaultParagraphFont"/>
    <w:uiPriority w:val="99"/>
    <w:semiHidden/>
    <w:unhideWhenUsed/>
    <w:rsid w:val="0084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866">
      <w:bodyDiv w:val="1"/>
      <w:marLeft w:val="0"/>
      <w:marRight w:val="0"/>
      <w:marTop w:val="0"/>
      <w:marBottom w:val="0"/>
      <w:divBdr>
        <w:top w:val="none" w:sz="0" w:space="0" w:color="auto"/>
        <w:left w:val="none" w:sz="0" w:space="0" w:color="auto"/>
        <w:bottom w:val="none" w:sz="0" w:space="0" w:color="auto"/>
        <w:right w:val="none" w:sz="0" w:space="0" w:color="auto"/>
      </w:divBdr>
      <w:divsChild>
        <w:div w:id="1437366050">
          <w:marLeft w:val="0"/>
          <w:marRight w:val="0"/>
          <w:marTop w:val="0"/>
          <w:marBottom w:val="0"/>
          <w:divBdr>
            <w:top w:val="none" w:sz="0" w:space="0" w:color="auto"/>
            <w:left w:val="none" w:sz="0" w:space="0" w:color="auto"/>
            <w:bottom w:val="none" w:sz="0" w:space="0" w:color="auto"/>
            <w:right w:val="none" w:sz="0" w:space="0" w:color="auto"/>
          </w:divBdr>
          <w:divsChild>
            <w:div w:id="1966347995">
              <w:marLeft w:val="0"/>
              <w:marRight w:val="0"/>
              <w:marTop w:val="0"/>
              <w:marBottom w:val="0"/>
              <w:divBdr>
                <w:top w:val="none" w:sz="0" w:space="0" w:color="auto"/>
                <w:left w:val="none" w:sz="0" w:space="0" w:color="auto"/>
                <w:bottom w:val="none" w:sz="0" w:space="0" w:color="auto"/>
                <w:right w:val="none" w:sz="0" w:space="0" w:color="auto"/>
              </w:divBdr>
              <w:divsChild>
                <w:div w:id="1710377558">
                  <w:marLeft w:val="0"/>
                  <w:marRight w:val="0"/>
                  <w:marTop w:val="0"/>
                  <w:marBottom w:val="0"/>
                  <w:divBdr>
                    <w:top w:val="none" w:sz="0" w:space="0" w:color="auto"/>
                    <w:left w:val="none" w:sz="0" w:space="0" w:color="auto"/>
                    <w:bottom w:val="none" w:sz="0" w:space="0" w:color="auto"/>
                    <w:right w:val="none" w:sz="0" w:space="0" w:color="auto"/>
                  </w:divBdr>
                  <w:divsChild>
                    <w:div w:id="1840535277">
                      <w:marLeft w:val="0"/>
                      <w:marRight w:val="0"/>
                      <w:marTop w:val="0"/>
                      <w:marBottom w:val="0"/>
                      <w:divBdr>
                        <w:top w:val="none" w:sz="0" w:space="0" w:color="auto"/>
                        <w:left w:val="none" w:sz="0" w:space="0" w:color="auto"/>
                        <w:bottom w:val="none" w:sz="0" w:space="0" w:color="auto"/>
                        <w:right w:val="none" w:sz="0" w:space="0" w:color="auto"/>
                      </w:divBdr>
                      <w:divsChild>
                        <w:div w:id="11687888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4121168">
                              <w:marLeft w:val="0"/>
                              <w:marRight w:val="0"/>
                              <w:marTop w:val="0"/>
                              <w:marBottom w:val="0"/>
                              <w:divBdr>
                                <w:top w:val="none" w:sz="0" w:space="0" w:color="auto"/>
                                <w:left w:val="none" w:sz="0" w:space="0" w:color="auto"/>
                                <w:bottom w:val="none" w:sz="0" w:space="0" w:color="auto"/>
                                <w:right w:val="none" w:sz="0" w:space="0" w:color="auto"/>
                              </w:divBdr>
                              <w:divsChild>
                                <w:div w:id="824974787">
                                  <w:marLeft w:val="0"/>
                                  <w:marRight w:val="0"/>
                                  <w:marTop w:val="0"/>
                                  <w:marBottom w:val="0"/>
                                  <w:divBdr>
                                    <w:top w:val="none" w:sz="0" w:space="0" w:color="auto"/>
                                    <w:left w:val="none" w:sz="0" w:space="0" w:color="auto"/>
                                    <w:bottom w:val="none" w:sz="0" w:space="0" w:color="auto"/>
                                    <w:right w:val="none" w:sz="0" w:space="0" w:color="auto"/>
                                  </w:divBdr>
                                  <w:divsChild>
                                    <w:div w:id="854612709">
                                      <w:marLeft w:val="0"/>
                                      <w:marRight w:val="0"/>
                                      <w:marTop w:val="0"/>
                                      <w:marBottom w:val="0"/>
                                      <w:divBdr>
                                        <w:top w:val="none" w:sz="0" w:space="0" w:color="auto"/>
                                        <w:left w:val="none" w:sz="0" w:space="0" w:color="auto"/>
                                        <w:bottom w:val="none" w:sz="0" w:space="0" w:color="auto"/>
                                        <w:right w:val="none" w:sz="0" w:space="0" w:color="auto"/>
                                      </w:divBdr>
                                      <w:divsChild>
                                        <w:div w:id="344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146">
                                  <w:marLeft w:val="0"/>
                                  <w:marRight w:val="0"/>
                                  <w:marTop w:val="0"/>
                                  <w:marBottom w:val="0"/>
                                  <w:divBdr>
                                    <w:top w:val="none" w:sz="0" w:space="0" w:color="auto"/>
                                    <w:left w:val="none" w:sz="0" w:space="0" w:color="auto"/>
                                    <w:bottom w:val="none" w:sz="0" w:space="0" w:color="auto"/>
                                    <w:right w:val="none" w:sz="0" w:space="0" w:color="auto"/>
                                  </w:divBdr>
                                  <w:divsChild>
                                    <w:div w:id="2006975846">
                                      <w:marLeft w:val="0"/>
                                      <w:marRight w:val="0"/>
                                      <w:marTop w:val="0"/>
                                      <w:marBottom w:val="0"/>
                                      <w:divBdr>
                                        <w:top w:val="none" w:sz="0" w:space="0" w:color="auto"/>
                                        <w:left w:val="none" w:sz="0" w:space="0" w:color="auto"/>
                                        <w:bottom w:val="none" w:sz="0" w:space="0" w:color="auto"/>
                                        <w:right w:val="none" w:sz="0" w:space="0" w:color="auto"/>
                                      </w:divBdr>
                                      <w:divsChild>
                                        <w:div w:id="1404794833">
                                          <w:marLeft w:val="0"/>
                                          <w:marRight w:val="0"/>
                                          <w:marTop w:val="0"/>
                                          <w:marBottom w:val="0"/>
                                          <w:divBdr>
                                            <w:top w:val="none" w:sz="0" w:space="0" w:color="auto"/>
                                            <w:left w:val="none" w:sz="0" w:space="0" w:color="auto"/>
                                            <w:bottom w:val="none" w:sz="0" w:space="0" w:color="auto"/>
                                            <w:right w:val="none" w:sz="0" w:space="0" w:color="auto"/>
                                          </w:divBdr>
                                          <w:divsChild>
                                            <w:div w:id="1463233141">
                                              <w:marLeft w:val="0"/>
                                              <w:marRight w:val="0"/>
                                              <w:marTop w:val="0"/>
                                              <w:marBottom w:val="0"/>
                                              <w:divBdr>
                                                <w:top w:val="none" w:sz="0" w:space="0" w:color="auto"/>
                                                <w:left w:val="none" w:sz="0" w:space="0" w:color="auto"/>
                                                <w:bottom w:val="none" w:sz="0" w:space="0" w:color="auto"/>
                                                <w:right w:val="none" w:sz="0" w:space="0" w:color="auto"/>
                                              </w:divBdr>
                                            </w:div>
                                          </w:divsChild>
                                        </w:div>
                                        <w:div w:id="2093970591">
                                          <w:marLeft w:val="0"/>
                                          <w:marRight w:val="0"/>
                                          <w:marTop w:val="0"/>
                                          <w:marBottom w:val="0"/>
                                          <w:divBdr>
                                            <w:top w:val="none" w:sz="0" w:space="0" w:color="auto"/>
                                            <w:left w:val="none" w:sz="0" w:space="0" w:color="auto"/>
                                            <w:bottom w:val="none" w:sz="0" w:space="0" w:color="auto"/>
                                            <w:right w:val="none" w:sz="0" w:space="0" w:color="auto"/>
                                          </w:divBdr>
                                          <w:divsChild>
                                            <w:div w:id="945771399">
                                              <w:marLeft w:val="0"/>
                                              <w:marRight w:val="0"/>
                                              <w:marTop w:val="0"/>
                                              <w:marBottom w:val="0"/>
                                              <w:divBdr>
                                                <w:top w:val="none" w:sz="0" w:space="0" w:color="auto"/>
                                                <w:left w:val="none" w:sz="0" w:space="0" w:color="auto"/>
                                                <w:bottom w:val="none" w:sz="0" w:space="0" w:color="auto"/>
                                                <w:right w:val="none" w:sz="0" w:space="0" w:color="auto"/>
                                              </w:divBdr>
                                            </w:div>
                                          </w:divsChild>
                                        </w:div>
                                        <w:div w:id="116216178">
                                          <w:marLeft w:val="0"/>
                                          <w:marRight w:val="0"/>
                                          <w:marTop w:val="0"/>
                                          <w:marBottom w:val="0"/>
                                          <w:divBdr>
                                            <w:top w:val="none" w:sz="0" w:space="0" w:color="auto"/>
                                            <w:left w:val="none" w:sz="0" w:space="0" w:color="auto"/>
                                            <w:bottom w:val="none" w:sz="0" w:space="0" w:color="auto"/>
                                            <w:right w:val="none" w:sz="0" w:space="0" w:color="auto"/>
                                          </w:divBdr>
                                          <w:divsChild>
                                            <w:div w:id="1941138850">
                                              <w:marLeft w:val="0"/>
                                              <w:marRight w:val="0"/>
                                              <w:marTop w:val="0"/>
                                              <w:marBottom w:val="0"/>
                                              <w:divBdr>
                                                <w:top w:val="none" w:sz="0" w:space="0" w:color="auto"/>
                                                <w:left w:val="none" w:sz="0" w:space="0" w:color="auto"/>
                                                <w:bottom w:val="none" w:sz="0" w:space="0" w:color="auto"/>
                                                <w:right w:val="none" w:sz="0" w:space="0" w:color="auto"/>
                                              </w:divBdr>
                                              <w:divsChild>
                                                <w:div w:id="6241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5709">
                                          <w:marLeft w:val="0"/>
                                          <w:marRight w:val="0"/>
                                          <w:marTop w:val="0"/>
                                          <w:marBottom w:val="0"/>
                                          <w:divBdr>
                                            <w:top w:val="none" w:sz="0" w:space="0" w:color="auto"/>
                                            <w:left w:val="none" w:sz="0" w:space="0" w:color="auto"/>
                                            <w:bottom w:val="none" w:sz="0" w:space="0" w:color="auto"/>
                                            <w:right w:val="none" w:sz="0" w:space="0" w:color="auto"/>
                                          </w:divBdr>
                                          <w:divsChild>
                                            <w:div w:id="2129548806">
                                              <w:marLeft w:val="0"/>
                                              <w:marRight w:val="0"/>
                                              <w:marTop w:val="0"/>
                                              <w:marBottom w:val="0"/>
                                              <w:divBdr>
                                                <w:top w:val="none" w:sz="0" w:space="0" w:color="auto"/>
                                                <w:left w:val="none" w:sz="0" w:space="0" w:color="auto"/>
                                                <w:bottom w:val="none" w:sz="0" w:space="0" w:color="auto"/>
                                                <w:right w:val="none" w:sz="0" w:space="0" w:color="auto"/>
                                              </w:divBdr>
                                              <w:divsChild>
                                                <w:div w:id="6914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41">
                                          <w:marLeft w:val="0"/>
                                          <w:marRight w:val="0"/>
                                          <w:marTop w:val="0"/>
                                          <w:marBottom w:val="0"/>
                                          <w:divBdr>
                                            <w:top w:val="none" w:sz="0" w:space="0" w:color="auto"/>
                                            <w:left w:val="none" w:sz="0" w:space="0" w:color="auto"/>
                                            <w:bottom w:val="none" w:sz="0" w:space="0" w:color="auto"/>
                                            <w:right w:val="none" w:sz="0" w:space="0" w:color="auto"/>
                                          </w:divBdr>
                                          <w:divsChild>
                                            <w:div w:id="191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575">
                                      <w:marLeft w:val="0"/>
                                      <w:marRight w:val="0"/>
                                      <w:marTop w:val="0"/>
                                      <w:marBottom w:val="0"/>
                                      <w:divBdr>
                                        <w:top w:val="none" w:sz="0" w:space="0" w:color="auto"/>
                                        <w:left w:val="none" w:sz="0" w:space="0" w:color="auto"/>
                                        <w:bottom w:val="none" w:sz="0" w:space="0" w:color="auto"/>
                                        <w:right w:val="none" w:sz="0" w:space="0" w:color="auto"/>
                                      </w:divBdr>
                                      <w:divsChild>
                                        <w:div w:id="1653480967">
                                          <w:marLeft w:val="0"/>
                                          <w:marRight w:val="0"/>
                                          <w:marTop w:val="0"/>
                                          <w:marBottom w:val="0"/>
                                          <w:divBdr>
                                            <w:top w:val="none" w:sz="0" w:space="0" w:color="auto"/>
                                            <w:left w:val="none" w:sz="0" w:space="0" w:color="auto"/>
                                            <w:bottom w:val="none" w:sz="0" w:space="0" w:color="auto"/>
                                            <w:right w:val="none" w:sz="0" w:space="0" w:color="auto"/>
                                          </w:divBdr>
                                          <w:divsChild>
                                            <w:div w:id="6093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283</Words>
  <Characters>1592</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Hedge, Eric@BOF</cp:lastModifiedBy>
  <cp:revision>2</cp:revision>
  <dcterms:created xsi:type="dcterms:W3CDTF">2020-05-01T17:32:00Z</dcterms:created>
  <dcterms:modified xsi:type="dcterms:W3CDTF">2020-08-26T17:04:00Z</dcterms:modified>
</cp:coreProperties>
</file>